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1BB377">
      <w:pPr>
        <w:keepNext w:val="0"/>
        <w:keepLines w:val="0"/>
        <w:pageBreakBefore w:val="0"/>
        <w:widowControl w:val="0"/>
        <w:kinsoku/>
        <w:wordWrap/>
        <w:overflowPunct/>
        <w:topLinePunct w:val="0"/>
        <w:autoSpaceDE/>
        <w:autoSpaceDN/>
        <w:bidi w:val="0"/>
        <w:adjustRightInd/>
        <w:snapToGrid/>
        <w:spacing w:line="570" w:lineRule="exact"/>
        <w:textAlignment w:val="auto"/>
        <w:rPr>
          <w:rFonts w:hint="eastAsia" w:ascii="黑体" w:hAnsi="黑体" w:eastAsia="黑体" w:cs="仿宋_GB2312"/>
          <w:color w:val="auto"/>
          <w:sz w:val="32"/>
          <w:szCs w:val="32"/>
          <w:lang w:val="en-US" w:eastAsia="zh-CN"/>
        </w:rPr>
      </w:pPr>
      <w:r>
        <w:rPr>
          <w:rFonts w:hint="eastAsia" w:ascii="黑体" w:hAnsi="黑体" w:eastAsia="黑体" w:cs="仿宋_GB2312"/>
          <w:color w:val="auto"/>
          <w:sz w:val="32"/>
          <w:szCs w:val="32"/>
          <w:lang w:val="en-US" w:eastAsia="zh-CN"/>
        </w:rPr>
        <w:t>附件1</w:t>
      </w:r>
    </w:p>
    <w:p w14:paraId="5EF1A0A9">
      <w:pPr>
        <w:keepNext w:val="0"/>
        <w:keepLines w:val="0"/>
        <w:pageBreakBefore w:val="0"/>
        <w:widowControl w:val="0"/>
        <w:kinsoku/>
        <w:wordWrap/>
        <w:overflowPunct/>
        <w:topLinePunct w:val="0"/>
        <w:autoSpaceDE/>
        <w:autoSpaceDN/>
        <w:bidi w:val="0"/>
        <w:adjustRightInd/>
        <w:snapToGrid/>
        <w:spacing w:line="570" w:lineRule="exact"/>
        <w:textAlignment w:val="auto"/>
        <w:rPr>
          <w:rFonts w:hint="default" w:ascii="黑体" w:hAnsi="黑体" w:eastAsia="黑体" w:cs="仿宋_GB2312"/>
          <w:color w:val="auto"/>
          <w:sz w:val="32"/>
          <w:szCs w:val="32"/>
          <w:lang w:val="en-US" w:eastAsia="zh-CN"/>
        </w:rPr>
      </w:pPr>
    </w:p>
    <w:p w14:paraId="3090DC2D">
      <w:pPr>
        <w:keepNext w:val="0"/>
        <w:keepLines w:val="0"/>
        <w:pageBreakBefore w:val="0"/>
        <w:widowControl w:val="0"/>
        <w:kinsoku/>
        <w:wordWrap/>
        <w:overflowPunct/>
        <w:topLinePunct w:val="0"/>
        <w:autoSpaceDE/>
        <w:autoSpaceDN/>
        <w:bidi w:val="0"/>
        <w:adjustRightInd/>
        <w:snapToGrid/>
        <w:spacing w:line="570" w:lineRule="exact"/>
        <w:jc w:val="center"/>
        <w:textAlignment w:val="auto"/>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2025年山东省</w:t>
      </w:r>
      <w:r>
        <w:rPr>
          <w:rFonts w:hint="eastAsia" w:ascii="方正小标宋简体" w:hAnsi="方正小标宋简体" w:eastAsia="方正小标宋简体" w:cs="方正小标宋简体"/>
          <w:color w:val="auto"/>
          <w:sz w:val="44"/>
          <w:szCs w:val="44"/>
          <w:lang w:val="en-US" w:eastAsia="zh-CN"/>
        </w:rPr>
        <w:t>科协</w:t>
      </w:r>
      <w:r>
        <w:rPr>
          <w:rFonts w:hint="eastAsia" w:ascii="方正小标宋简体" w:hAnsi="方正小标宋简体" w:eastAsia="方正小标宋简体" w:cs="方正小标宋简体"/>
          <w:color w:val="auto"/>
          <w:sz w:val="44"/>
          <w:szCs w:val="44"/>
        </w:rPr>
        <w:t>智库决策咨询研究</w:t>
      </w:r>
    </w:p>
    <w:p w14:paraId="5335A8EF">
      <w:pPr>
        <w:keepNext w:val="0"/>
        <w:keepLines w:val="0"/>
        <w:pageBreakBefore w:val="0"/>
        <w:widowControl w:val="0"/>
        <w:kinsoku/>
        <w:wordWrap/>
        <w:overflowPunct/>
        <w:topLinePunct w:val="0"/>
        <w:autoSpaceDE/>
        <w:autoSpaceDN/>
        <w:bidi w:val="0"/>
        <w:adjustRightInd/>
        <w:snapToGrid/>
        <w:spacing w:line="570" w:lineRule="exact"/>
        <w:jc w:val="center"/>
        <w:textAlignment w:val="auto"/>
        <w:rPr>
          <w:rFonts w:hint="default"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重点</w:t>
      </w:r>
      <w:r>
        <w:rPr>
          <w:rFonts w:hint="eastAsia" w:ascii="方正小标宋简体" w:hAnsi="方正小标宋简体" w:eastAsia="方正小标宋简体" w:cs="方正小标宋简体"/>
          <w:color w:val="auto"/>
          <w:sz w:val="44"/>
          <w:szCs w:val="44"/>
        </w:rPr>
        <w:t>项目选题</w:t>
      </w:r>
      <w:r>
        <w:rPr>
          <w:rFonts w:hint="eastAsia" w:ascii="方正小标宋简体" w:hAnsi="方正小标宋简体" w:eastAsia="方正小标宋简体" w:cs="方正小标宋简体"/>
          <w:color w:val="auto"/>
          <w:sz w:val="44"/>
          <w:szCs w:val="44"/>
          <w:lang w:val="en-US" w:eastAsia="zh-CN"/>
        </w:rPr>
        <w:t>指南</w:t>
      </w:r>
    </w:p>
    <w:p w14:paraId="1AA8ABC0">
      <w:pPr>
        <w:keepNext w:val="0"/>
        <w:keepLines w:val="0"/>
        <w:pageBreakBefore w:val="0"/>
        <w:widowControl w:val="0"/>
        <w:kinsoku/>
        <w:wordWrap/>
        <w:overflowPunct/>
        <w:topLinePunct w:val="0"/>
        <w:autoSpaceDE/>
        <w:autoSpaceDN/>
        <w:bidi w:val="0"/>
        <w:adjustRightInd/>
        <w:snapToGrid/>
        <w:spacing w:line="570" w:lineRule="exact"/>
        <w:jc w:val="center"/>
        <w:textAlignment w:val="auto"/>
        <w:rPr>
          <w:rFonts w:hint="eastAsia" w:ascii="方正小标宋简体" w:hAnsi="方正小标宋简体" w:eastAsia="方正小标宋简体" w:cs="方正小标宋简体"/>
          <w:color w:val="auto"/>
          <w:sz w:val="44"/>
          <w:szCs w:val="44"/>
        </w:rPr>
      </w:pPr>
    </w:p>
    <w:p w14:paraId="6DFC29FD">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楷体_GB2312" w:hAnsi="楷体_GB2312" w:eastAsia="楷体_GB2312" w:cs="楷体_GB2312"/>
          <w:color w:val="auto"/>
          <w:sz w:val="32"/>
          <w:szCs w:val="32"/>
          <w:lang w:eastAsia="zh-CN"/>
        </w:rPr>
      </w:pPr>
      <w:r>
        <w:rPr>
          <w:rFonts w:hint="eastAsia" w:ascii="黑体" w:hAnsi="黑体" w:eastAsia="黑体" w:cs="仿宋_GB2312"/>
          <w:color w:val="auto"/>
          <w:sz w:val="32"/>
          <w:szCs w:val="32"/>
        </w:rPr>
        <w:t>1.关于加快推动我省战略性新兴产业融合集群能级提升的对策建议</w:t>
      </w:r>
    </w:p>
    <w:p w14:paraId="45F1B5D5">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发展战略性新兴产业融合集群是推动经济高质量发展的关键举措。国家“十四五”规划明确提出加快战略性新兴产业融合化、集群化发展，我省通过建设一批国家级和省级集群，规模已突破3.5万亿元。然而，对比江苏省等先进省份，我省仍存在产业链协同不足、创新能力薄弱、要素配置低效等能级短板。本研究聚焦战略性新兴产业融合集群能级提升路径，深入分析山东省战略性新兴产业融合集群的发展现状与瓶颈，提出针对性的对策建议，为山东省产业升级和经济转型提供决策参考，助力抢占新兴产业竞争制高点。</w:t>
      </w:r>
    </w:p>
    <w:p w14:paraId="4D71CEA5">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黑体" w:hAnsi="黑体" w:eastAsia="黑体" w:cs="仿宋_GB2312"/>
          <w:color w:val="auto"/>
          <w:sz w:val="32"/>
          <w:szCs w:val="32"/>
        </w:rPr>
      </w:pPr>
      <w:r>
        <w:rPr>
          <w:rFonts w:hint="eastAsia" w:ascii="黑体" w:hAnsi="黑体" w:eastAsia="黑体" w:cs="仿宋_GB2312"/>
          <w:color w:val="auto"/>
          <w:sz w:val="32"/>
          <w:szCs w:val="32"/>
        </w:rPr>
        <w:t>2.</w:t>
      </w:r>
      <w:bookmarkStart w:id="0" w:name="OLE_LINK1"/>
      <w:r>
        <w:rPr>
          <w:rFonts w:hint="eastAsia" w:ascii="黑体" w:hAnsi="黑体" w:eastAsia="黑体" w:cs="仿宋_GB2312"/>
          <w:color w:val="auto"/>
          <w:sz w:val="32"/>
          <w:szCs w:val="32"/>
        </w:rPr>
        <w:t>山东省“十五五”未来产业科技人才引育路径与创新机制研究</w:t>
      </w:r>
    </w:p>
    <w:p w14:paraId="06D5E63E">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山东省在“十五五”期间加快布局人工智能、“元宇宙+”、生命科学等未来产业，提出到2027年建成30家左右重大科技创新平台，引育100名以上战略科技人才和产业技术专家。然而，未来产业的快速发展对科技人才的引育提出了更高要求，需要创新引育路径和机制，以满足产业对多元化、高素质人才的需求。本项目聚焦山东省“十五五”未来产业科技人才引育路径与创新机制研究。一是分析未来产业对科技人才的类型、层次和数量需求，构建科技人才图谱。二是探索科技人才引育路径，包括优化泰山人才工程等政策，推行“一事一议”柔性引才机制；加强高校与企业合作，建强卓越工程师学院，实施现场工程师专项培养计划。三是创新人才引育机制，如完善“校企共聘共用”模式，支持高校教师与企业技术骨干“跨界融合”。通过本研究，以期为山东省未来产业提供精准的人才引育策略，优化人才结构，激发人才创新活力，助力山东省“8+X”未来产业创新体系的构建，推动未来产业高质量发展，提升区域科技竞争力。</w:t>
      </w:r>
      <w:bookmarkEnd w:id="0"/>
    </w:p>
    <w:p w14:paraId="05398670">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黑体" w:hAnsi="黑体" w:eastAsia="黑体" w:cs="仿宋_GB2312"/>
          <w:color w:val="auto"/>
          <w:sz w:val="32"/>
          <w:szCs w:val="32"/>
          <w:lang w:eastAsia="zh-CN"/>
        </w:rPr>
      </w:pPr>
      <w:r>
        <w:rPr>
          <w:rFonts w:hint="eastAsia" w:ascii="黑体" w:hAnsi="黑体" w:eastAsia="黑体" w:cs="仿宋_GB2312"/>
          <w:color w:val="auto"/>
          <w:sz w:val="32"/>
          <w:szCs w:val="32"/>
        </w:rPr>
        <w:t>3.农业强省建设的赛道选择与发展路径研究</w:t>
      </w:r>
    </w:p>
    <w:p w14:paraId="412850A3">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习近平总书记强调，建设农业强国必须协同推进科技创新和制度创新，开辟新领域新赛道，塑造新动能新优势，加快实现量的突破和质的跃升。当前，智慧农业、生物农业、工厂化农业、功能农业、碳汇农业等极具潜力的未来农业新赛道已初露端倪。本研究立足山东实际，系统开展农业赛道选择和发展路径研究，既是建设现代化农业强省的当务之急，又是培育和发展农业新质生产力的必然要求，对扛牢“走在前、挑大梁”的使命担当，积极抢占农业产业发展先机，塑造山东农业发展新优势意义重大。</w:t>
      </w:r>
    </w:p>
    <w:p w14:paraId="37C90B57">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仿宋_GB2312" w:hAnsi="仿宋_GB2312" w:eastAsia="仿宋_GB2312" w:cs="仿宋_GB2312"/>
          <w:color w:val="auto"/>
          <w:sz w:val="32"/>
          <w:szCs w:val="32"/>
        </w:rPr>
      </w:pPr>
      <w:bookmarkStart w:id="1" w:name="OLE_LINK6"/>
      <w:r>
        <w:rPr>
          <w:rFonts w:hint="eastAsia" w:ascii="黑体" w:hAnsi="黑体" w:eastAsia="黑体" w:cs="仿宋_GB2312"/>
          <w:color w:val="auto"/>
          <w:sz w:val="32"/>
          <w:szCs w:val="32"/>
        </w:rPr>
        <w:t>4.</w:t>
      </w:r>
      <w:bookmarkStart w:id="2" w:name="OLE_LINK9"/>
      <w:r>
        <w:rPr>
          <w:rFonts w:hint="eastAsia" w:ascii="黑体" w:hAnsi="黑体" w:eastAsia="黑体" w:cs="仿宋_GB2312"/>
          <w:color w:val="auto"/>
          <w:sz w:val="32"/>
          <w:szCs w:val="32"/>
          <w:lang w:val="en-US" w:eastAsia="zh-CN"/>
        </w:rPr>
        <w:t>基于AI大模型的山东省智能医疗产业快速发展的路径与应对策略研究</w:t>
      </w:r>
      <w:bookmarkEnd w:id="2"/>
      <w:r>
        <w:rPr>
          <w:rFonts w:hint="eastAsia" w:ascii="仿宋_GB2312" w:hAnsi="仿宋_GB2312" w:eastAsia="仿宋_GB2312" w:cs="仿宋_GB2312"/>
          <w:color w:val="auto"/>
          <w:sz w:val="32"/>
          <w:szCs w:val="32"/>
        </w:rPr>
        <w:t xml:space="preserve">   </w:t>
      </w:r>
    </w:p>
    <w:p w14:paraId="74746B8C">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医养健康产业是</w:t>
      </w:r>
      <w:r>
        <w:rPr>
          <w:rFonts w:hint="eastAsia" w:ascii="仿宋_GB2312" w:hAnsi="仿宋_GB2312" w:eastAsia="仿宋_GB2312" w:cs="仿宋_GB2312"/>
          <w:color w:val="auto"/>
          <w:sz w:val="32"/>
          <w:szCs w:val="32"/>
          <w:lang w:val="en-US" w:eastAsia="zh-CN"/>
        </w:rPr>
        <w:t>山东</w:t>
      </w:r>
      <w:r>
        <w:rPr>
          <w:rFonts w:hint="eastAsia" w:ascii="仿宋_GB2312" w:hAnsi="仿宋_GB2312" w:eastAsia="仿宋_GB2312" w:cs="仿宋_GB2312"/>
          <w:color w:val="auto"/>
          <w:sz w:val="32"/>
          <w:szCs w:val="32"/>
        </w:rPr>
        <w:t>省委省政府确定的新旧动能转换“十强”产业之一，人工智能技术的飞速发展为医养健康产业创新突破带来了新机遇。本项目聚焦促进山东省智能医疗产业快速发展路径开展研究。一是探索医疗数据在跨机构、跨区域间的协同运用模式，高质量服务智能医疗科研；二是构建科研机构、医院和企业协同高效创新模式，打造涵盖疾病预测、影像诊断、健康服务等功能的医疗垂域大模型；三是推动智能医疗大模型训练资源共享、集中运维和个性化服务方式，避免医疗机构重复建设算力设施，造成资源浪费。通过本研究，期望为山东省智能医疗产业提供发展路径和策略支持，助力各级医院共享智能医疗服务，为“健康山东”战略的实施提供核心支撑，推动医养健康产业高质量发展。</w:t>
      </w:r>
    </w:p>
    <w:bookmarkEnd w:id="1"/>
    <w:p w14:paraId="22DC845B">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黑体" w:hAnsi="黑体" w:eastAsia="黑体" w:cs="仿宋_GB2312"/>
          <w:color w:val="auto"/>
          <w:sz w:val="32"/>
          <w:szCs w:val="32"/>
          <w:lang w:eastAsia="zh-CN"/>
        </w:rPr>
      </w:pPr>
      <w:r>
        <w:rPr>
          <w:rFonts w:hint="eastAsia" w:ascii="黑体" w:hAnsi="黑体" w:eastAsia="黑体" w:cs="仿宋_GB2312"/>
          <w:color w:val="auto"/>
          <w:sz w:val="32"/>
          <w:szCs w:val="32"/>
        </w:rPr>
        <w:t>5.新发展阶段山东省发展湾区经济塑造海洋产业新优势研究</w:t>
      </w:r>
    </w:p>
    <w:p w14:paraId="7467D477">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2024年中央经济工作会议指出要大力发展海洋经济和湾区经济。本研究围绕山东半岛南北两侧沿海城市群的产业特点，深入研究如何激发海洋产业创新活力，为我省湾区经济的空间布局、设施建设、产业导入、创新发展、开放政策等提供借鉴，从潜力领域、政策引导、要素集聚、融合发展等关键环节，探讨打通传统产业与新兴赛道，政策机制和市场主体间的堵点和卡点，增强海洋产业创新动能，塑造产业新优势，加快形成港口经济、滨海经济、都市圈经济融合发展高地。</w:t>
      </w:r>
    </w:p>
    <w:p w14:paraId="3A65C82A">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黑体" w:hAnsi="黑体" w:eastAsia="黑体" w:cs="仿宋_GB2312"/>
          <w:color w:val="auto"/>
          <w:sz w:val="32"/>
          <w:szCs w:val="32"/>
          <w:lang w:eastAsia="zh-CN"/>
        </w:rPr>
      </w:pPr>
      <w:r>
        <w:rPr>
          <w:rFonts w:hint="eastAsia" w:ascii="黑体" w:hAnsi="黑体" w:eastAsia="黑体" w:cs="仿宋_GB2312"/>
          <w:color w:val="auto"/>
          <w:sz w:val="32"/>
          <w:szCs w:val="32"/>
        </w:rPr>
        <w:t>6.</w:t>
      </w:r>
      <w:bookmarkStart w:id="3" w:name="OLE_LINK2"/>
      <w:r>
        <w:rPr>
          <w:rFonts w:hint="eastAsia" w:ascii="黑体" w:hAnsi="黑体" w:eastAsia="黑体" w:cs="仿宋_GB2312"/>
          <w:color w:val="auto"/>
          <w:sz w:val="32"/>
          <w:szCs w:val="32"/>
        </w:rPr>
        <w:t>AI赋能传统装备产业突破转型发展瓶颈的研究</w:t>
      </w:r>
    </w:p>
    <w:p w14:paraId="1EAD9FAD">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黑体" w:hAnsi="黑体" w:eastAsia="黑体" w:cs="仿宋_GB2312"/>
          <w:color w:val="auto"/>
          <w:sz w:val="32"/>
          <w:szCs w:val="32"/>
        </w:rPr>
      </w:pPr>
      <w:r>
        <w:rPr>
          <w:rFonts w:hint="eastAsia" w:ascii="仿宋_GB2312" w:hAnsi="仿宋_GB2312" w:eastAsia="仿宋_GB2312" w:cs="仿宋_GB2312"/>
          <w:color w:val="auto"/>
          <w:sz w:val="32"/>
          <w:szCs w:val="32"/>
        </w:rPr>
        <w:t>随着人工智能技术的快速发展，其在传统装备产业中的应用逐渐成为推动产业升级的重要力量。山东省装备制造业在全国处于领先地位，但传统产业集聚区如数控机床、电力装备等仍面临转型升级压力。在国内外产业竞争加剧的背景下，如何利用AI技术突破传统装备产业的发展瓶颈，成为提升产业竞争力的关键。本研究聚焦AI赋能传统装备产业的转型路径与机制，分析AI技术在设计、生产、运维等环节的应用现状与潜力，探索通过技术创新、模式优化和政策支持推动产业升级的路径。通过研究，旨在为山东省传统装备产业提供精准的转型升级策略，优化产业结构，提升产业智能化水平，助力区域经济高质量发展。</w:t>
      </w:r>
      <w:bookmarkEnd w:id="3"/>
    </w:p>
    <w:p w14:paraId="2695DF98">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黑体" w:hAnsi="黑体" w:eastAsia="黑体" w:cs="仿宋_GB2312"/>
          <w:color w:val="auto"/>
          <w:sz w:val="32"/>
          <w:szCs w:val="32"/>
          <w:lang w:eastAsia="zh-CN"/>
        </w:rPr>
      </w:pPr>
      <w:bookmarkStart w:id="4" w:name="OLE_LINK4"/>
      <w:bookmarkStart w:id="5" w:name="OLE_LINK11"/>
      <w:r>
        <w:rPr>
          <w:rFonts w:hint="eastAsia" w:ascii="黑体" w:hAnsi="黑体" w:eastAsia="黑体" w:cs="仿宋_GB2312"/>
          <w:color w:val="auto"/>
          <w:sz w:val="32"/>
          <w:szCs w:val="32"/>
        </w:rPr>
        <w:t>7.山东省黄河流域生态环境与新型城镇化耦合协调发展对策研究</w:t>
      </w:r>
    </w:p>
    <w:p w14:paraId="781E1D2F">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黄河流域生态保护和高质量发展是重大国家战略，山东作为黄河入海口省份，肩负重要使命。城镇化是现代化的必由之路，深入实施以人为本的新型城镇化战略是推动区域协调发展的有力支撑，是扩大内需和促进产业升级的重要抓手。当前，山东省沿黄地区新型城镇化质量和水平稳步推进，但同时生态环境压力也明显增大，城镇化与生态环境耦合协调面临诸多挑战。本研究聚焦山东省黄河流域新型城镇化与生态环境耦合协调的发展对策，探讨如何在生态环境承载能力范围内确保城镇化实现合理、有效、高质量的发展。通过研究，旨在为山东省黄河流域在“十五五”期间实现新型城镇化与生态环境的良性互馈提供科学依据，助力山东打造黄河流域生态保护先行区和高质量发展示范区，推动区域经济与生态协调发展。</w:t>
      </w:r>
      <w:bookmarkEnd w:id="4"/>
    </w:p>
    <w:bookmarkEnd w:id="5"/>
    <w:p w14:paraId="07FB5F35">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黑体" w:hAnsi="黑体" w:eastAsia="黑体" w:cs="仿宋_GB2312"/>
          <w:color w:val="auto"/>
          <w:sz w:val="32"/>
          <w:szCs w:val="32"/>
          <w:lang w:eastAsia="zh-CN"/>
        </w:rPr>
      </w:pPr>
      <w:bookmarkStart w:id="6" w:name="OLE_LINK10"/>
      <w:bookmarkStart w:id="7" w:name="OLE_LINK7"/>
      <w:r>
        <w:rPr>
          <w:rFonts w:hint="eastAsia" w:ascii="黑体" w:hAnsi="黑体" w:eastAsia="黑体" w:cs="仿宋_GB2312"/>
          <w:color w:val="auto"/>
          <w:sz w:val="32"/>
          <w:szCs w:val="32"/>
        </w:rPr>
        <w:t>8.加快提升我省数智交通水平推动新质生产力发展对策研究</w:t>
      </w:r>
    </w:p>
    <w:p w14:paraId="047AD51B">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随着数字经济与智慧交通的深度融合，数智交通成为推动交通领域新质生产力发展的重要引擎。山东省作为交通大省，在交通基础设施建设与信息技术应用方面具备良好基础，但数智交通发展仍面临数据共享不足、技术创新瓶颈、应用场景有限等问题，制约了新质生产力的释放。本研究聚焦加快提升山东省数智交通水平，推动新质生产力发展，深入剖析数智交通发展现状与瓶颈，探索数据共享与协同治理机制，研究智慧交通技术创新与应用场景拓展路径，提出优化交通基础设施智能化升级的政策建议。通过本研究，期望为山东省数智交通发展提供科学依据和对策支持，助力交通领域新质生产力的培育与提升，推动山东交通高质量发展，为全国数智交通建设提供经验借鉴。</w:t>
      </w:r>
      <w:bookmarkEnd w:id="6"/>
    </w:p>
    <w:bookmarkEnd w:id="7"/>
    <w:p w14:paraId="4AA44413">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黑体" w:hAnsi="黑体" w:eastAsia="黑体" w:cs="仿宋_GB2312"/>
          <w:color w:val="auto"/>
          <w:sz w:val="32"/>
          <w:szCs w:val="32"/>
          <w:lang w:eastAsia="zh-CN"/>
        </w:rPr>
      </w:pPr>
      <w:bookmarkStart w:id="8" w:name="OLE_LINK5"/>
      <w:r>
        <w:rPr>
          <w:rFonts w:hint="eastAsia" w:ascii="黑体" w:hAnsi="黑体" w:eastAsia="黑体" w:cs="仿宋_GB2312"/>
          <w:color w:val="auto"/>
          <w:sz w:val="32"/>
          <w:szCs w:val="32"/>
        </w:rPr>
        <w:t>9.山东省新能源就地就近消纳的痛点与对策</w:t>
      </w:r>
      <w:r>
        <w:rPr>
          <w:rFonts w:hint="eastAsia" w:ascii="黑体" w:hAnsi="黑体" w:eastAsia="黑体" w:cs="仿宋_GB2312"/>
          <w:color w:val="auto"/>
          <w:sz w:val="32"/>
          <w:szCs w:val="32"/>
          <w:lang w:val="en-US" w:eastAsia="zh-CN"/>
        </w:rPr>
        <w:t>研究</w:t>
      </w:r>
    </w:p>
    <w:p w14:paraId="3AFC7CEF">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2024年10月，山东省新能源与可再生能源发电累计装机容量实现历史性跨越，首次超越煤电装机规模，标志着全省能源结构迈入以新能源为主导的新阶段。然而，新能源消纳能力的滞后性发展，导致传统能源与新能源在协同运行中暴露出深层次的结构性矛盾。伴随新能源装机规模的持续攀升，消纳困境日益凸显，已成为制约山东省乃至全国能源绿色转型与低碳高质量发展的核心瓶颈。在此背景下，通过系统性剖析山东省新能源消纳领域的体制机制障碍，精准施策提出创新解决方案，不仅能够全面厘清新能源就地就近消纳的现状特征与核心痛点，更可探索构建区域源网荷储协同发展的新型模式，为全国能源转型提供可复制、可推广的示范样本，助力我国能源体系向清洁低碳、安全高效方向加速演进。</w:t>
      </w:r>
      <w:bookmarkEnd w:id="8"/>
    </w:p>
    <w:p w14:paraId="19609E0A">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黑体" w:hAnsi="黑体" w:eastAsia="黑体" w:cs="仿宋_GB2312"/>
          <w:color w:val="auto"/>
          <w:sz w:val="32"/>
          <w:szCs w:val="32"/>
          <w:lang w:eastAsia="zh-CN"/>
        </w:rPr>
      </w:pPr>
      <w:r>
        <w:rPr>
          <w:rFonts w:hint="eastAsia" w:ascii="黑体" w:hAnsi="黑体" w:eastAsia="黑体" w:cs="仿宋_GB2312"/>
          <w:color w:val="auto"/>
          <w:sz w:val="32"/>
          <w:szCs w:val="32"/>
        </w:rPr>
        <w:t>10.系统运用大数据技术与数据资源化解债务风险的路径与实践研究</w:t>
      </w:r>
    </w:p>
    <w:p w14:paraId="6C4406C6">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防范化解重大金融风险是保证经济社会高质量发展的重要保障，化解债务是有效降低和防范化解重大金融风险的直接手段。山东省作为经济大省，地方政府债务和各经营主体间债务是阻碍国民经济畅通循环及产生重大金融风险的重要原因。系统利用大数据技术和数据资源可以有效化解冲抵各主体间债务，大幅降低全社会债务总额，从根本上降低国民经济面临的风险，加快经济循环，促进经济更快更好高质量发展。本研究</w:t>
      </w:r>
      <w:r>
        <w:rPr>
          <w:rFonts w:hint="eastAsia" w:ascii="仿宋_GB2312" w:hAnsi="仿宋_GB2312" w:eastAsia="仿宋_GB2312" w:cs="仿宋_GB2312"/>
          <w:color w:val="auto"/>
          <w:sz w:val="32"/>
          <w:szCs w:val="32"/>
          <w:lang w:val="en-US" w:eastAsia="zh-CN"/>
        </w:rPr>
        <w:t>旨在</w:t>
      </w:r>
      <w:r>
        <w:rPr>
          <w:rFonts w:hint="eastAsia" w:ascii="仿宋_GB2312" w:hAnsi="仿宋_GB2312" w:eastAsia="仿宋_GB2312" w:cs="仿宋_GB2312"/>
          <w:color w:val="auto"/>
          <w:sz w:val="32"/>
          <w:szCs w:val="32"/>
        </w:rPr>
        <w:t>利用大数据技术，找出地方债务、各经营主体间债务的关联关系，运用大数据技术化解、冲抵其中容易处理的部分债务，与地方专项债结合形成化解债务的倍数据效力，推动山东省在稳定金融促进经济高质量发展上走在前列。</w:t>
      </w:r>
    </w:p>
    <w:p w14:paraId="7E4701F4">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黑体" w:hAnsi="黑体" w:eastAsia="黑体" w:cs="仿宋_GB2312"/>
          <w:color w:val="auto"/>
          <w:sz w:val="32"/>
          <w:szCs w:val="32"/>
          <w:lang w:eastAsia="zh-CN"/>
        </w:rPr>
      </w:pPr>
      <w:r>
        <w:rPr>
          <w:rFonts w:hint="eastAsia" w:ascii="黑体" w:hAnsi="黑体" w:eastAsia="黑体" w:cs="仿宋_GB2312"/>
          <w:color w:val="auto"/>
          <w:sz w:val="32"/>
          <w:szCs w:val="32"/>
        </w:rPr>
        <w:t>11.山东省城市空中交通发展、管理模式与实施路径研究</w:t>
      </w:r>
    </w:p>
    <w:p w14:paraId="7BE10462">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随着城市化进程加速推进，传统地面交通模式因拥堵、污染等问题难以满足城市发展需求，城市空中交通（UAM）作为低空经济核心领域</w:t>
      </w:r>
      <w:r>
        <w:rPr>
          <w:rFonts w:hint="eastAsia" w:ascii="仿宋_GB2312" w:hAnsi="仿宋_GB2312" w:eastAsia="仿宋_GB2312" w:cs="仿宋_GB2312"/>
          <w:color w:val="auto"/>
          <w:sz w:val="32"/>
          <w:szCs w:val="32"/>
          <w:lang w:val="en-US" w:eastAsia="zh-CN"/>
        </w:rPr>
        <w:t>和关键引擎</w:t>
      </w:r>
      <w:r>
        <w:rPr>
          <w:rFonts w:hint="eastAsia" w:ascii="仿宋_GB2312" w:hAnsi="仿宋_GB2312" w:eastAsia="仿宋_GB2312" w:cs="仿宋_GB2312"/>
          <w:color w:val="auto"/>
          <w:sz w:val="32"/>
          <w:szCs w:val="32"/>
        </w:rPr>
        <w:t>，凭借高时效、低排放等优势成为未来交通转型的重要方向，本研究聚焦山东省城市空中交通发展现状，从技术瓶颈、政策法规、管理模式及社会效益等多维度展开研究，通过分析国内外UAM发展趋势，评估省内主要城市交通需求与空间潜力，探索技术创新路径与政策标准制定，重点研究空域管理改革、多式联运体系构建、低碳技术应用及公众接受度等关键问题，为山东省构建现代化综合交通体系提供科学决策支持，推动低空经济产业布局与技术突破。</w:t>
      </w:r>
    </w:p>
    <w:p w14:paraId="2E537C3F">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黑体" w:hAnsi="黑体" w:eastAsia="黑体" w:cs="仿宋_GB2312"/>
          <w:color w:val="auto"/>
          <w:sz w:val="32"/>
          <w:szCs w:val="32"/>
          <w:lang w:eastAsia="zh-CN"/>
        </w:rPr>
      </w:pPr>
      <w:bookmarkStart w:id="9" w:name="OLE_LINK3"/>
      <w:bookmarkStart w:id="10" w:name="OLE_LINK8"/>
      <w:r>
        <w:rPr>
          <w:rFonts w:hint="eastAsia" w:ascii="黑体" w:hAnsi="黑体" w:eastAsia="黑体" w:cs="仿宋_GB2312"/>
          <w:color w:val="auto"/>
          <w:sz w:val="32"/>
          <w:szCs w:val="32"/>
        </w:rPr>
        <w:t>12.基于山东科技创新生态的科技金融与绿色产业转型堵点剖析与对策研究</w:t>
      </w:r>
    </w:p>
    <w:p w14:paraId="77406E9C">
      <w:pPr>
        <w:keepNext w:val="0"/>
        <w:keepLines w:val="0"/>
        <w:pageBreakBefore w:val="0"/>
        <w:widowControl w:val="0"/>
        <w:kinsoku/>
        <w:wordWrap/>
        <w:overflowPunct/>
        <w:topLinePunct w:val="0"/>
        <w:autoSpaceDE/>
        <w:autoSpaceDN/>
        <w:bidi w:val="0"/>
        <w:adjustRightInd/>
        <w:snapToGrid/>
        <w:spacing w:line="570" w:lineRule="exact"/>
        <w:ind w:firstLine="640" w:firstLineChars="20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山东省</w:t>
      </w:r>
      <w:r>
        <w:rPr>
          <w:rFonts w:hint="eastAsia" w:ascii="仿宋_GB2312" w:hAnsi="仿宋_GB2312" w:eastAsia="仿宋_GB2312" w:cs="仿宋_GB2312"/>
          <w:color w:val="auto"/>
          <w:sz w:val="32"/>
          <w:szCs w:val="32"/>
        </w:rPr>
        <w:t>作为全国工业大省和经济强省，加快绿色产业转型是实现“双碳”目标和深化绿色低碳高质量发展先行区建设的关键。当前，科技创新生态体系尚未充分释放对绿色产业转型的驱动力，科技金融与产业发展协同效能不足，绿色技术研发存在关键领域“卡脖子”问题，如创新要素配置效率不高、跨域流动不畅等；绿色基金等金融工具存在评估标准碎片化、信息披露机制缺位等制度性堵点，导致资金流向与产业需求错配；政策支持体系尚未形成全链条闭环。</w:t>
      </w:r>
      <w:r>
        <w:rPr>
          <w:rFonts w:hint="eastAsia" w:ascii="仿宋_GB2312" w:hAnsi="仿宋_GB2312" w:eastAsia="仿宋_GB2312" w:cs="仿宋_GB2312"/>
          <w:color w:val="auto"/>
          <w:sz w:val="32"/>
          <w:szCs w:val="32"/>
          <w:lang w:val="en-US" w:eastAsia="zh-CN"/>
        </w:rPr>
        <w:t>本研究</w:t>
      </w:r>
      <w:r>
        <w:rPr>
          <w:rFonts w:hint="eastAsia" w:ascii="仿宋_GB2312" w:hAnsi="仿宋_GB2312" w:eastAsia="仿宋_GB2312" w:cs="仿宋_GB2312"/>
          <w:color w:val="auto"/>
          <w:sz w:val="32"/>
          <w:szCs w:val="32"/>
        </w:rPr>
        <w:t>以构建科技金融与绿色产业协同发展机制为突破口，聚焦制度创新与科技生态优化，为破解转型堵点提供系统性解决方案。</w:t>
      </w:r>
      <w:bookmarkEnd w:id="9"/>
      <w:bookmarkEnd w:id="10"/>
    </w:p>
    <w:p w14:paraId="0889CB59">
      <w:bookmarkStart w:id="11" w:name="_GoBack"/>
      <w:bookmarkEnd w:id="11"/>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96FA2D">
    <w:pPr>
      <w:pStyle w:val="2"/>
      <w:jc w:val="center"/>
      <w:rPr>
        <w:rFonts w:hint="eastAsia"/>
      </w:rPr>
    </w:pPr>
    <w:r>
      <w:fldChar w:fldCharType="begin"/>
    </w:r>
    <w:r>
      <w:instrText xml:space="preserve">PAGE   \* MERGEFORMAT</w:instrText>
    </w:r>
    <w:r>
      <w:fldChar w:fldCharType="separate"/>
    </w:r>
    <w:r>
      <w:rPr>
        <w:lang w:val="zh-CN"/>
      </w:rPr>
      <w:t>2</w:t>
    </w:r>
    <w:r>
      <w:fldChar w:fldCharType="end"/>
    </w:r>
  </w:p>
  <w:p w14:paraId="073A560C">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ABE74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2025-04-17T03:39:49Z</dcterms:created>
  <dc:creator>山东科技咨询协会</dc:creator>
  <cp:lastModifiedBy>Somnambulist.</cp:lastModifiedBy>
  <dcterms:modified xsi:type="dcterms:W3CDTF">2025-04-17T03:40:03Z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KSOTemplateDocerSaveRecord">
    <vt:lpwstr>eyJoZGlkIjoiOTY4NDM0YmIwNTRiMDU5NGRlMWQyYmY4MmE5MDE2NTQiLCJ1c2VySWQiOiI0OTY2MDAxMjEifQ==</vt:lpwstr>
  </property>
  <property fmtid="{D5CDD505-2E9C-101B-9397-08002B2CF9AE}" pid="4" name="ICV">
    <vt:lpwstr>9E49281EEE1644E8A98B0A77A8BB5FDD_12</vt:lpwstr>
  </property>
</Properties>
</file>