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C6EA1D">
      <w:pPr>
        <w:pStyle w:val="3"/>
        <w:keepNext/>
        <w:keepLines/>
        <w:pageBreakBefore w:val="0"/>
        <w:widowControl w:val="0"/>
        <w:kinsoku/>
        <w:wordWrap/>
        <w:overflowPunct/>
        <w:topLinePunct w:val="0"/>
        <w:autoSpaceDE/>
        <w:autoSpaceDN/>
        <w:bidi w:val="0"/>
        <w:adjustRightInd/>
        <w:snapToGrid/>
        <w:spacing w:before="0" w:after="0" w:line="570" w:lineRule="exact"/>
        <w:ind w:firstLine="0" w:firstLineChars="0"/>
        <w:jc w:val="center"/>
        <w:textAlignment w:val="auto"/>
        <w:rPr>
          <w:rFonts w:hint="eastAsia" w:ascii="方正小标宋简体" w:hAnsi="方正小标宋简体" w:eastAsia="方正小标宋简体" w:cs="方正小标宋简体"/>
          <w:b w:val="0"/>
          <w:bCs w:val="0"/>
          <w:color w:val="auto"/>
          <w:sz w:val="44"/>
          <w:szCs w:val="44"/>
        </w:rPr>
      </w:pPr>
      <w:bookmarkStart w:id="0" w:name="_Toc500430260"/>
      <w:bookmarkStart w:id="1" w:name="_Toc525206144"/>
      <w:r>
        <w:rPr>
          <w:rFonts w:hint="eastAsia" w:ascii="方正小标宋简体" w:hAnsi="方正小标宋简体" w:eastAsia="方正小标宋简体" w:cs="方正小标宋简体"/>
          <w:b w:val="0"/>
          <w:bCs w:val="0"/>
          <w:color w:val="auto"/>
          <w:sz w:val="44"/>
          <w:szCs w:val="44"/>
        </w:rPr>
        <w:t>《基于COSMIC方法的软件开发成本度量实施规程》团体标准编制说明</w:t>
      </w:r>
    </w:p>
    <w:p w14:paraId="422D0B47">
      <w:pPr>
        <w:keepNext w:val="0"/>
        <w:keepLines w:val="0"/>
        <w:pageBreakBefore w:val="0"/>
        <w:widowControl w:val="0"/>
        <w:kinsoku/>
        <w:wordWrap/>
        <w:overflowPunct/>
        <w:topLinePunct w:val="0"/>
        <w:autoSpaceDE/>
        <w:autoSpaceDN/>
        <w:bidi w:val="0"/>
        <w:adjustRightInd/>
        <w:snapToGrid/>
        <w:spacing w:line="570" w:lineRule="exact"/>
        <w:textAlignment w:val="auto"/>
        <w:rPr>
          <w:rFonts w:hint="eastAsia"/>
          <w:color w:val="auto"/>
        </w:rPr>
      </w:pPr>
    </w:p>
    <w:p w14:paraId="5DA1DB9E">
      <w:pPr>
        <w:pStyle w:val="3"/>
        <w:keepNext/>
        <w:keepLines/>
        <w:pageBreakBefore w:val="0"/>
        <w:widowControl w:val="0"/>
        <w:kinsoku/>
        <w:wordWrap/>
        <w:overflowPunct/>
        <w:topLinePunct w:val="0"/>
        <w:autoSpaceDE/>
        <w:autoSpaceDN/>
        <w:bidi w:val="0"/>
        <w:adjustRightInd/>
        <w:snapToGrid/>
        <w:spacing w:before="0" w:after="0" w:line="540" w:lineRule="exact"/>
        <w:ind w:firstLine="640" w:firstLineChars="200"/>
        <w:jc w:val="both"/>
        <w:textAlignment w:val="auto"/>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一、</w:t>
      </w:r>
      <w:bookmarkEnd w:id="0"/>
      <w:bookmarkEnd w:id="1"/>
      <w:r>
        <w:rPr>
          <w:rFonts w:hint="eastAsia" w:ascii="黑体" w:hAnsi="黑体" w:eastAsia="黑体" w:cs="黑体"/>
          <w:b w:val="0"/>
          <w:bCs w:val="0"/>
          <w:color w:val="auto"/>
          <w:sz w:val="32"/>
          <w:szCs w:val="32"/>
        </w:rPr>
        <w:t>工作简况</w:t>
      </w:r>
    </w:p>
    <w:p w14:paraId="72B2B61C">
      <w:pPr>
        <w:pStyle w:val="4"/>
        <w:keepNext/>
        <w:keepLines/>
        <w:pageBreakBefore w:val="0"/>
        <w:widowControl w:val="0"/>
        <w:kinsoku/>
        <w:wordWrap/>
        <w:overflowPunct/>
        <w:topLinePunct w:val="0"/>
        <w:autoSpaceDE/>
        <w:autoSpaceDN/>
        <w:bidi w:val="0"/>
        <w:adjustRightInd/>
        <w:snapToGrid/>
        <w:spacing w:before="0" w:beforeLines="0" w:after="0" w:afterLines="0" w:line="540" w:lineRule="exact"/>
        <w:ind w:firstLine="640" w:firstLineChars="200"/>
        <w:jc w:val="both"/>
        <w:textAlignment w:val="auto"/>
        <w:rPr>
          <w:rFonts w:hint="eastAsia" w:ascii="楷体_GB2312" w:hAnsi="楷体_GB2312" w:eastAsia="楷体_GB2312" w:cs="楷体_GB2312"/>
          <w:b w:val="0"/>
          <w:bCs/>
          <w:color w:val="auto"/>
          <w:sz w:val="32"/>
          <w:szCs w:val="32"/>
        </w:rPr>
      </w:pPr>
      <w:r>
        <w:rPr>
          <w:rFonts w:hint="eastAsia" w:ascii="楷体_GB2312" w:hAnsi="楷体_GB2312" w:eastAsia="楷体_GB2312" w:cs="楷体_GB2312"/>
          <w:b w:val="0"/>
          <w:bCs/>
          <w:color w:val="auto"/>
          <w:sz w:val="32"/>
          <w:szCs w:val="32"/>
        </w:rPr>
        <w:t>（一）任务来源</w:t>
      </w:r>
    </w:p>
    <w:p w14:paraId="063C59A6">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国家工业和信息化部《“十四五”软件和信息技术服务业发展规划》中提到，要“建立符合高质量发展要求的软件价值评估机制，推广软件成本度量标准，加强对软件产品及服务价格监管，维护市场价格秩序”。因此，建设软件成本度量领域的相关标准具有一定必要性。我国高度重视软件造价领域相关制度、规范、技术的建设，各省的主管部门、机构及社会团体均在软件造价、软件开发成本度量等领域发布了系列管理制度、指导意见及标准规范，比如积极与国际接轨，持续引入、编制并落地了《GB/T 36964-2018 软件工程 软件开发成本度量规范》</w:t>
      </w:r>
      <w:r>
        <w:rPr>
          <w:rFonts w:hint="eastAsia" w:ascii="仿宋_GB2312" w:hAnsi="仿宋_GB2312" w:eastAsia="仿宋_GB2312" w:cs="仿宋_GB2312"/>
          <w:color w:val="auto"/>
          <w:sz w:val="32"/>
          <w:szCs w:val="32"/>
          <w:lang w:val="en-US" w:eastAsia="zh-CN"/>
        </w:rPr>
        <w:t>《GB/T 42452-2023系统与软件工程 功能规模测量 COSMIC方法》等重要性标准，用于指导软件造价领域的业务开展。总之，制定本标</w:t>
      </w:r>
      <w:r>
        <w:rPr>
          <w:rFonts w:hint="eastAsia" w:ascii="仿宋_GB2312" w:hAnsi="仿宋_GB2312" w:eastAsia="仿宋_GB2312" w:cs="仿宋_GB2312"/>
          <w:color w:val="auto"/>
          <w:sz w:val="32"/>
          <w:szCs w:val="32"/>
          <w:lang w:val="en-US" w:eastAsia="zh-CN"/>
        </w:rPr>
        <w:t>准也是落实各级政策的重要措施。</w:t>
      </w:r>
    </w:p>
    <w:p w14:paraId="04F67517">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虽然现有的软件开发成本度量行业标准和国家标准对成本度量均具备一定指导性，但在实际应用中不同群体间对不同方法的应用存在较大差异。因此，本标准的编制可规范和指导软件开发成本的度量工作，提高成本估算的准确性和一致性。</w:t>
      </w:r>
      <w:bookmarkStart w:id="2" w:name="_Toc500430262"/>
      <w:bookmarkStart w:id="3" w:name="_Toc525206146"/>
    </w:p>
    <w:p w14:paraId="4214EC17">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_GB2312" w:hAnsi="楷体_GB2312" w:eastAsia="楷体_GB2312" w:cs="楷体_GB2312"/>
          <w:b w:val="0"/>
          <w:bCs/>
          <w:color w:val="auto"/>
          <w:sz w:val="32"/>
          <w:szCs w:val="32"/>
        </w:rPr>
      </w:pPr>
      <w:r>
        <w:rPr>
          <w:rFonts w:hint="eastAsia" w:ascii="楷体_GB2312" w:hAnsi="楷体_GB2312" w:eastAsia="楷体_GB2312" w:cs="楷体_GB2312"/>
          <w:b w:val="0"/>
          <w:bCs/>
          <w:color w:val="auto"/>
          <w:sz w:val="32"/>
          <w:szCs w:val="32"/>
        </w:rPr>
        <w:t>（</w:t>
      </w:r>
      <w:r>
        <w:rPr>
          <w:rFonts w:hint="eastAsia" w:ascii="楷体_GB2312" w:hAnsi="楷体_GB2312" w:eastAsia="楷体_GB2312" w:cs="楷体_GB2312"/>
          <w:b w:val="0"/>
          <w:bCs/>
          <w:color w:val="auto"/>
          <w:sz w:val="32"/>
          <w:szCs w:val="32"/>
          <w:lang w:val="en-US" w:eastAsia="zh-CN"/>
        </w:rPr>
        <w:t>二</w:t>
      </w:r>
      <w:r>
        <w:rPr>
          <w:rFonts w:hint="eastAsia" w:ascii="楷体_GB2312" w:hAnsi="楷体_GB2312" w:eastAsia="楷体_GB2312" w:cs="楷体_GB2312"/>
          <w:b w:val="0"/>
          <w:bCs/>
          <w:color w:val="auto"/>
          <w:sz w:val="32"/>
          <w:szCs w:val="32"/>
        </w:rPr>
        <w:t>）主要工作过程</w:t>
      </w:r>
    </w:p>
    <w:p w14:paraId="3F552020">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项目牵头单位中国移动通信集团设计院有限公司山东分公司组织成立了标准编制起草组，起草组制定了起草编写方案与进度计划安排，明确任务职责，确定技术路线，有序开展标准研制工作。编制工作如下：</w:t>
      </w:r>
    </w:p>
    <w:p w14:paraId="6321F9F7">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编制起草组下设三个组，分别是数据收集组、草案编写组、标准实施组。</w:t>
      </w:r>
    </w:p>
    <w:p w14:paraId="43CFD18B">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数据收集组负责软件开发成本度量相关实践经验提炼、资料的收集和整理，查阅相关标准（如国际标准、行业标准等）关于软件开发成本度量的指导意见，跟踪国内该领域的发展趋势等。</w:t>
      </w:r>
    </w:p>
    <w:p w14:paraId="090A1DB6">
      <w:pPr>
        <w:pStyle w:val="41"/>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草案编写组负责标准草案和标准编制说明的起草编写工作以及标准的不断修改和完善。</w:t>
      </w:r>
      <w:r>
        <w:rPr>
          <w:rFonts w:hint="eastAsia" w:ascii="仿宋_GB2312" w:eastAsia="仿宋_GB2312"/>
          <w:color w:val="auto"/>
          <w:sz w:val="32"/>
          <w:szCs w:val="32"/>
          <w:highlight w:val="none"/>
        </w:rPr>
        <w:t>202</w:t>
      </w:r>
      <w:r>
        <w:rPr>
          <w:rFonts w:hint="eastAsia" w:ascii="仿宋_GB2312" w:eastAsia="仿宋_GB2312"/>
          <w:color w:val="auto"/>
          <w:sz w:val="32"/>
          <w:szCs w:val="32"/>
          <w:highlight w:val="none"/>
          <w:lang w:val="en-US" w:eastAsia="zh-CN"/>
        </w:rPr>
        <w:t>4</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val="en-US" w:eastAsia="zh-CN"/>
        </w:rPr>
        <w:t>8</w:t>
      </w:r>
      <w:r>
        <w:rPr>
          <w:rFonts w:hint="eastAsia" w:ascii="仿宋_GB2312" w:eastAsia="仿宋_GB2312"/>
          <w:color w:val="auto"/>
          <w:sz w:val="32"/>
          <w:szCs w:val="32"/>
          <w:highlight w:val="none"/>
        </w:rPr>
        <w:t>月</w:t>
      </w:r>
      <w:r>
        <w:rPr>
          <w:rFonts w:hint="eastAsia" w:ascii="仿宋_GB2312" w:eastAsia="仿宋_GB2312"/>
          <w:color w:val="auto"/>
          <w:sz w:val="32"/>
          <w:szCs w:val="32"/>
          <w:highlight w:val="none"/>
          <w:lang w:val="en-US" w:eastAsia="zh-CN"/>
        </w:rPr>
        <w:t>23</w:t>
      </w:r>
      <w:r>
        <w:rPr>
          <w:rFonts w:hint="eastAsia" w:ascii="仿宋_GB2312" w:eastAsia="仿宋_GB2312"/>
          <w:color w:val="auto"/>
          <w:sz w:val="32"/>
          <w:szCs w:val="32"/>
          <w:highlight w:val="none"/>
        </w:rPr>
        <w:t>日，山东科技咨询协会组织专家对</w:t>
      </w:r>
      <w:r>
        <w:rPr>
          <w:rFonts w:hint="eastAsia" w:ascii="仿宋_GB2312" w:eastAsia="仿宋_GB2312"/>
          <w:color w:val="auto"/>
          <w:sz w:val="32"/>
          <w:szCs w:val="32"/>
          <w:highlight w:val="none"/>
          <w:lang w:val="en-US" w:eastAsia="zh-CN"/>
        </w:rPr>
        <w:t>《软件开发成本度量实施技术规程》团体标准项目</w:t>
      </w:r>
      <w:r>
        <w:rPr>
          <w:rFonts w:hint="eastAsia" w:ascii="仿宋_GB2312" w:eastAsia="仿宋_GB2312"/>
          <w:color w:val="auto"/>
          <w:sz w:val="32"/>
          <w:szCs w:val="32"/>
          <w:highlight w:val="none"/>
        </w:rPr>
        <w:t>进行了</w:t>
      </w:r>
      <w:r>
        <w:rPr>
          <w:rFonts w:hint="eastAsia" w:ascii="仿宋_GB2312" w:eastAsia="仿宋_GB2312"/>
          <w:color w:val="auto"/>
          <w:sz w:val="32"/>
          <w:szCs w:val="32"/>
          <w:highlight w:val="none"/>
          <w:lang w:val="en-US" w:eastAsia="zh-CN"/>
        </w:rPr>
        <w:t>立项评审，评审</w:t>
      </w:r>
      <w:r>
        <w:rPr>
          <w:rFonts w:hint="eastAsia" w:ascii="仿宋_GB2312" w:eastAsia="仿宋_GB2312"/>
          <w:color w:val="auto"/>
          <w:sz w:val="32"/>
          <w:szCs w:val="32"/>
          <w:highlight w:val="none"/>
        </w:rPr>
        <w:t>专家</w:t>
      </w:r>
      <w:r>
        <w:rPr>
          <w:rFonts w:hint="eastAsia" w:ascii="仿宋_GB2312" w:eastAsia="仿宋_GB2312"/>
          <w:color w:val="auto"/>
          <w:sz w:val="32"/>
          <w:szCs w:val="32"/>
          <w:highlight w:val="none"/>
          <w:lang w:val="en-US" w:eastAsia="zh-CN"/>
        </w:rPr>
        <w:t>建议对团体标准名称进行修改，更加具体化的体现标准内容。起草组采纳建议，将标准名称修改为《基于COSMIC方法的软件开发成本度量实施规程》。</w:t>
      </w:r>
    </w:p>
    <w:p w14:paraId="284DFDE7">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b w:val="0"/>
          <w:bCs w:val="0"/>
          <w:color w:val="auto"/>
          <w:sz w:val="32"/>
          <w:szCs w:val="32"/>
        </w:rPr>
      </w:pPr>
      <w:r>
        <w:rPr>
          <w:rFonts w:hint="eastAsia" w:ascii="仿宋_GB2312" w:hAnsi="仿宋_GB2312" w:eastAsia="仿宋_GB2312" w:cs="仿宋_GB2312"/>
          <w:color w:val="auto"/>
          <w:sz w:val="32"/>
          <w:szCs w:val="32"/>
          <w:lang w:val="en-US" w:eastAsia="zh-CN"/>
        </w:rPr>
        <w:t>标准实施组负责标准发布后，组织相关企业开展标准宣贯培训会，对标准进行解读，让相关人员了解标准，并根据标准对软件开发成本度量实施过程进行规范化管理，对标准实施情况进行总结分析，不断对标准提出完善意见。</w:t>
      </w:r>
      <w:r>
        <w:rPr>
          <w:rFonts w:hint="eastAsia" w:ascii="仿宋_GB2312" w:hAnsi="仿宋_GB2312" w:eastAsia="仿宋_GB2312" w:cs="仿宋_GB2312"/>
          <w:color w:val="auto"/>
          <w:sz w:val="32"/>
          <w:szCs w:val="32"/>
          <w:lang w:val="en-US" w:eastAsia="zh-CN"/>
        </w:rPr>
        <w:br w:type="textWrapping"/>
      </w:r>
      <w:r>
        <w:rPr>
          <w:rFonts w:hint="eastAsia" w:ascii="仿宋_GB2312" w:hAnsi="仿宋_GB2312" w:eastAsia="仿宋_GB2312" w:cs="仿宋_GB2312"/>
          <w:color w:val="auto"/>
          <w:sz w:val="32"/>
          <w:szCs w:val="32"/>
          <w:lang w:val="en-US" w:eastAsia="zh-CN"/>
        </w:rPr>
        <w:t xml:space="preserve">    </w:t>
      </w:r>
      <w:r>
        <w:rPr>
          <w:rFonts w:hint="eastAsia" w:ascii="黑体" w:hAnsi="黑体" w:eastAsia="黑体" w:cs="黑体"/>
          <w:b w:val="0"/>
          <w:bCs w:val="0"/>
          <w:color w:val="auto"/>
          <w:sz w:val="32"/>
          <w:szCs w:val="32"/>
          <w:lang w:val="en-US" w:eastAsia="zh-CN"/>
        </w:rPr>
        <w:t>二</w:t>
      </w:r>
      <w:r>
        <w:rPr>
          <w:rFonts w:hint="eastAsia" w:ascii="黑体" w:hAnsi="黑体" w:eastAsia="黑体" w:cs="黑体"/>
          <w:b w:val="0"/>
          <w:bCs w:val="0"/>
          <w:color w:val="auto"/>
          <w:sz w:val="32"/>
          <w:szCs w:val="32"/>
        </w:rPr>
        <w:t>、</w:t>
      </w:r>
      <w:bookmarkEnd w:id="2"/>
      <w:bookmarkEnd w:id="3"/>
      <w:r>
        <w:rPr>
          <w:rFonts w:hint="eastAsia" w:ascii="黑体" w:hAnsi="黑体" w:eastAsia="黑体" w:cs="黑体"/>
          <w:b w:val="0"/>
          <w:bCs w:val="0"/>
          <w:color w:val="auto"/>
          <w:sz w:val="32"/>
          <w:szCs w:val="32"/>
        </w:rPr>
        <w:t>标准编制原则</w:t>
      </w:r>
      <w:r>
        <w:rPr>
          <w:rFonts w:hint="eastAsia" w:ascii="黑体" w:hAnsi="黑体" w:eastAsia="黑体" w:cs="黑体"/>
          <w:b w:val="0"/>
          <w:bCs w:val="0"/>
          <w:color w:val="auto"/>
          <w:sz w:val="32"/>
          <w:szCs w:val="32"/>
          <w:lang w:eastAsia="zh-CN"/>
        </w:rPr>
        <w:t>、</w:t>
      </w:r>
      <w:r>
        <w:rPr>
          <w:rFonts w:hint="eastAsia" w:ascii="黑体" w:hAnsi="黑体" w:eastAsia="黑体" w:cs="黑体"/>
          <w:b w:val="0"/>
          <w:bCs w:val="0"/>
          <w:color w:val="auto"/>
          <w:sz w:val="32"/>
          <w:szCs w:val="32"/>
          <w:lang w:val="en-US" w:eastAsia="zh-CN"/>
        </w:rPr>
        <w:t>主要内容及其确定依据</w:t>
      </w:r>
    </w:p>
    <w:p w14:paraId="753D8017">
      <w:pPr>
        <w:pStyle w:val="4"/>
        <w:keepNext/>
        <w:keepLines/>
        <w:pageBreakBefore w:val="0"/>
        <w:widowControl w:val="0"/>
        <w:kinsoku/>
        <w:wordWrap/>
        <w:overflowPunct/>
        <w:topLinePunct w:val="0"/>
        <w:autoSpaceDE/>
        <w:autoSpaceDN/>
        <w:bidi w:val="0"/>
        <w:adjustRightInd/>
        <w:snapToGrid/>
        <w:spacing w:before="0" w:beforeLines="0" w:after="0" w:afterLines="0" w:line="540" w:lineRule="exact"/>
        <w:ind w:firstLine="640" w:firstLineChars="200"/>
        <w:jc w:val="both"/>
        <w:textAlignment w:val="auto"/>
        <w:rPr>
          <w:rFonts w:hint="eastAsia" w:ascii="楷体_GB2312" w:hAnsi="楷体_GB2312" w:eastAsia="楷体_GB2312" w:cs="楷体_GB2312"/>
          <w:b w:val="0"/>
          <w:bCs/>
          <w:color w:val="auto"/>
          <w:sz w:val="32"/>
          <w:szCs w:val="32"/>
        </w:rPr>
      </w:pPr>
      <w:r>
        <w:rPr>
          <w:rFonts w:hint="eastAsia" w:ascii="楷体_GB2312" w:hAnsi="楷体_GB2312" w:eastAsia="楷体_GB2312" w:cs="楷体_GB2312"/>
          <w:b w:val="0"/>
          <w:bCs/>
          <w:color w:val="auto"/>
          <w:sz w:val="32"/>
          <w:szCs w:val="32"/>
        </w:rPr>
        <w:t>（</w:t>
      </w:r>
      <w:r>
        <w:rPr>
          <w:rFonts w:hint="eastAsia" w:ascii="楷体_GB2312" w:hAnsi="楷体_GB2312" w:eastAsia="楷体_GB2312" w:cs="楷体_GB2312"/>
          <w:b w:val="0"/>
          <w:bCs/>
          <w:color w:val="auto"/>
          <w:sz w:val="32"/>
          <w:szCs w:val="32"/>
          <w:lang w:val="en-US" w:eastAsia="zh-CN"/>
        </w:rPr>
        <w:t>一）标准</w:t>
      </w:r>
      <w:r>
        <w:rPr>
          <w:rFonts w:hint="eastAsia" w:ascii="楷体_GB2312" w:hAnsi="楷体_GB2312" w:eastAsia="楷体_GB2312" w:cs="楷体_GB2312"/>
          <w:b w:val="0"/>
          <w:bCs/>
          <w:color w:val="auto"/>
          <w:sz w:val="32"/>
          <w:szCs w:val="32"/>
        </w:rPr>
        <w:t>编制原则</w:t>
      </w:r>
    </w:p>
    <w:p w14:paraId="54FEC570">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1.一致性原则</w:t>
      </w:r>
    </w:p>
    <w:p w14:paraId="5F723731">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严格与同行业的现有的法律、法规、强制性标准协调一致，</w:t>
      </w:r>
    </w:p>
    <w:p w14:paraId="590EE5DD">
      <w:pPr>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保证本标准能够被使用者无歧义地理解。</w:t>
      </w:r>
    </w:p>
    <w:p w14:paraId="0D192040">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2.规范性原则</w:t>
      </w:r>
    </w:p>
    <w:p w14:paraId="27A07BA1">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标准内容与现行国家标准、行业标准、地方标准、团体标准无交叉、无重复，技术要求不低于现行国家标准及行业标准的相关技术要求。</w:t>
      </w:r>
    </w:p>
    <w:p w14:paraId="05EF1264">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严格按照《GB/T 1.1—2020标准化工作导则 第1部分：标准化文件的结构和起草规则》的要求和规定编写本标准的内容，保证标准的编写质量。</w:t>
      </w:r>
    </w:p>
    <w:p w14:paraId="6D5C54FD">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3.创新性原则</w:t>
      </w:r>
    </w:p>
    <w:p w14:paraId="08DD9359">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现有软件开发成本度量行业标准和国家标准对成本度量均具备一定指导性，但在实际应用中不同群体间对不同方法的应用存在较大差异，本标准是在相关的国家、行业及山东省地方标准基础上的补充、创新，可规范和指导软件开发成本的度量工作，具有一定的创新性和前瞻性。</w:t>
      </w:r>
    </w:p>
    <w:p w14:paraId="44D7AFBA">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4.适用性原则</w:t>
      </w:r>
    </w:p>
    <w:p w14:paraId="5A6E2670">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本标准内容源于行业大量的实际经验的提炼、总结，结合当地条件，可用于软件开发成本度量实施的技术管理，其他具有软件开发成本度量需求的机构可参照执行。</w:t>
      </w:r>
    </w:p>
    <w:p w14:paraId="04C3F0CC">
      <w:pPr>
        <w:pStyle w:val="4"/>
        <w:keepNext/>
        <w:keepLines/>
        <w:pageBreakBefore w:val="0"/>
        <w:widowControl w:val="0"/>
        <w:kinsoku/>
        <w:wordWrap/>
        <w:overflowPunct/>
        <w:topLinePunct w:val="0"/>
        <w:autoSpaceDE/>
        <w:autoSpaceDN/>
        <w:bidi w:val="0"/>
        <w:adjustRightInd/>
        <w:snapToGrid/>
        <w:spacing w:before="0" w:beforeLines="0" w:after="0" w:afterLines="0" w:line="540" w:lineRule="exact"/>
        <w:ind w:firstLine="640" w:firstLineChars="200"/>
        <w:jc w:val="both"/>
        <w:textAlignment w:val="auto"/>
        <w:rPr>
          <w:rFonts w:hint="eastAsia" w:ascii="楷体_GB2312" w:hAnsi="楷体_GB2312" w:eastAsia="楷体_GB2312" w:cs="楷体_GB2312"/>
          <w:b w:val="0"/>
          <w:bCs/>
          <w:color w:val="auto"/>
          <w:sz w:val="32"/>
          <w:szCs w:val="32"/>
          <w:lang w:val="en-US" w:eastAsia="zh-CN"/>
        </w:rPr>
      </w:pPr>
      <w:r>
        <w:rPr>
          <w:rFonts w:hint="eastAsia" w:ascii="楷体_GB2312" w:hAnsi="楷体_GB2312" w:eastAsia="楷体_GB2312" w:cs="楷体_GB2312"/>
          <w:b w:val="0"/>
          <w:bCs/>
          <w:color w:val="auto"/>
          <w:sz w:val="32"/>
          <w:szCs w:val="32"/>
          <w:lang w:val="en-US" w:eastAsia="zh-CN"/>
        </w:rPr>
        <w:t>（二）主要内容</w:t>
      </w:r>
    </w:p>
    <w:p w14:paraId="28B7F7B6">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1.明确了软件开发成本度量中软件功能规模度量的实施过程，包括确认度量的目的、确认</w:t>
      </w:r>
      <w:r>
        <w:rPr>
          <w:rFonts w:hint="default" w:ascii="仿宋_GB2312" w:hAnsi="仿宋_GB2312" w:eastAsia="仿宋_GB2312" w:cs="仿宋_GB2312"/>
          <w:color w:val="auto"/>
          <w:sz w:val="32"/>
          <w:szCs w:val="32"/>
          <w:lang w:val="en-US" w:eastAsia="zh-CN"/>
        </w:rPr>
        <w:t>度量的范围</w:t>
      </w:r>
      <w:r>
        <w:rPr>
          <w:rFonts w:hint="eastAsia" w:ascii="仿宋_GB2312" w:hAnsi="仿宋_GB2312" w:eastAsia="仿宋_GB2312" w:cs="仿宋_GB2312"/>
          <w:color w:val="auto"/>
          <w:sz w:val="32"/>
          <w:szCs w:val="32"/>
          <w:lang w:val="en-US" w:eastAsia="zh-CN"/>
        </w:rPr>
        <w:t>、</w:t>
      </w:r>
      <w:r>
        <w:rPr>
          <w:rFonts w:hint="default" w:ascii="仿宋_GB2312" w:hAnsi="仿宋_GB2312" w:eastAsia="仿宋_GB2312" w:cs="仿宋_GB2312"/>
          <w:color w:val="auto"/>
          <w:sz w:val="32"/>
          <w:szCs w:val="32"/>
          <w:lang w:val="en-US" w:eastAsia="zh-CN"/>
        </w:rPr>
        <w:t>度量所需的制品</w:t>
      </w:r>
      <w:r>
        <w:rPr>
          <w:rFonts w:hint="eastAsia" w:ascii="仿宋_GB2312" w:hAnsi="仿宋_GB2312" w:eastAsia="仿宋_GB2312" w:cs="仿宋_GB2312"/>
          <w:color w:val="auto"/>
          <w:sz w:val="32"/>
          <w:szCs w:val="32"/>
          <w:lang w:val="en-US" w:eastAsia="zh-CN"/>
        </w:rPr>
        <w:t>、确认功能用户、度量活动之前应实施的关键活动以及软件功能规模度量原则和规模调整原则。</w:t>
      </w:r>
    </w:p>
    <w:p w14:paraId="3BC8A185">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2.明确了工作量度量过程中影响因子、影响因子取值范围、推荐使用的软件工作量的计算公式。</w:t>
      </w:r>
    </w:p>
    <w:p w14:paraId="002D3658">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3.明确了软件开发成本与软件工作量的关系以及确认软件开发综合人天单价的优先级。</w:t>
      </w:r>
    </w:p>
    <w:p w14:paraId="4F251F3C">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4.规定了软件开发成本度量报告应至少涵盖的关键信息。</w:t>
      </w:r>
    </w:p>
    <w:p w14:paraId="36B33C64">
      <w:pPr>
        <w:pStyle w:val="4"/>
        <w:keepNext/>
        <w:keepLines/>
        <w:pageBreakBefore w:val="0"/>
        <w:widowControl w:val="0"/>
        <w:kinsoku/>
        <w:wordWrap/>
        <w:overflowPunct/>
        <w:topLinePunct w:val="0"/>
        <w:autoSpaceDE/>
        <w:autoSpaceDN/>
        <w:bidi w:val="0"/>
        <w:adjustRightInd/>
        <w:snapToGrid/>
        <w:spacing w:before="0" w:beforeLines="0" w:after="0" w:afterLines="0" w:line="540" w:lineRule="exact"/>
        <w:ind w:firstLine="640" w:firstLineChars="200"/>
        <w:jc w:val="both"/>
        <w:textAlignment w:val="auto"/>
        <w:rPr>
          <w:rFonts w:hint="eastAsia" w:ascii="楷体_GB2312" w:hAnsi="楷体_GB2312" w:eastAsia="楷体_GB2312" w:cs="楷体_GB2312"/>
          <w:b w:val="0"/>
          <w:bCs/>
          <w:color w:val="auto"/>
          <w:sz w:val="32"/>
          <w:szCs w:val="32"/>
          <w:lang w:val="en-US" w:eastAsia="zh-CN"/>
        </w:rPr>
      </w:pPr>
      <w:r>
        <w:rPr>
          <w:rFonts w:hint="eastAsia" w:ascii="楷体_GB2312" w:hAnsi="楷体_GB2312" w:eastAsia="楷体_GB2312" w:cs="楷体_GB2312"/>
          <w:b w:val="0"/>
          <w:bCs/>
          <w:color w:val="auto"/>
          <w:sz w:val="32"/>
          <w:szCs w:val="32"/>
          <w:lang w:val="en-US" w:eastAsia="zh-CN"/>
        </w:rPr>
        <w:t>（三）确定主要内容的依据</w:t>
      </w:r>
    </w:p>
    <w:p w14:paraId="3C2A1799">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本标准编制主要依据《GB/T 36964-2018 软件工程 软件开发成本度量规范》《GB/T 42452-2023系统与软件工程 功能规模测量 COSMIC方法》</w:t>
      </w:r>
      <w:r>
        <w:rPr>
          <w:rFonts w:hint="eastAsia" w:ascii="仿宋_GB2312" w:hAnsi="仿宋_GB2312" w:eastAsia="仿宋_GB2312" w:cs="仿宋_GB2312"/>
          <w:color w:val="auto"/>
          <w:sz w:val="32"/>
          <w:szCs w:val="32"/>
          <w:lang w:val="en-US" w:eastAsia="zh-CN"/>
        </w:rPr>
        <w:t>等重要性标准的要求和内容，同时提炼总结编制单位的实际经验，结合我省软件开发成本度量实施方面的管理要求确定本标准的内容。</w:t>
      </w:r>
    </w:p>
    <w:p w14:paraId="0696704E">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标准编制单位在软件开发成本度量领域具有丰富的生产、技术、创新、管理经验，在国内软件造价行业具有较大影响力和号召力。本标准的主要内容亦是编制单位在该领域的总结、提炼，可为后续省内软件开发成本度量业务的发展提供一定程度的借鉴和参考。</w:t>
      </w:r>
    </w:p>
    <w:p w14:paraId="6A7CD86B">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firstLine="640" w:firstLineChars="200"/>
        <w:jc w:val="both"/>
        <w:textAlignment w:val="auto"/>
        <w:rPr>
          <w:rFonts w:hint="eastAsia" w:ascii="黑体" w:hAnsi="黑体" w:eastAsia="黑体" w:cs="黑体"/>
          <w:b w:val="0"/>
          <w:bCs w:val="0"/>
          <w:color w:val="auto"/>
          <w:sz w:val="32"/>
          <w:szCs w:val="32"/>
          <w:lang w:val="en-US" w:eastAsia="zh-CN"/>
        </w:rPr>
      </w:pPr>
      <w:bookmarkStart w:id="4" w:name="_Toc525206147"/>
      <w:bookmarkStart w:id="5" w:name="_Toc500430264"/>
      <w:r>
        <w:rPr>
          <w:rFonts w:hint="eastAsia" w:ascii="黑体" w:hAnsi="黑体" w:eastAsia="黑体" w:cs="黑体"/>
          <w:b w:val="0"/>
          <w:bCs w:val="0"/>
          <w:color w:val="auto"/>
          <w:kern w:val="44"/>
          <w:sz w:val="32"/>
          <w:szCs w:val="32"/>
          <w:lang w:val="en-US" w:eastAsia="zh-CN" w:bidi="ar-SA"/>
        </w:rPr>
        <w:t>三、</w:t>
      </w:r>
      <w:r>
        <w:rPr>
          <w:rFonts w:hint="eastAsia" w:ascii="黑体" w:hAnsi="黑体" w:eastAsia="黑体" w:cs="黑体"/>
          <w:b w:val="0"/>
          <w:bCs w:val="0"/>
          <w:color w:val="auto"/>
          <w:sz w:val="32"/>
          <w:szCs w:val="32"/>
        </w:rPr>
        <w:t>试验（或验证）的分析报告、技术经济论证</w:t>
      </w:r>
      <w:bookmarkEnd w:id="4"/>
      <w:r>
        <w:rPr>
          <w:rFonts w:hint="eastAsia" w:ascii="黑体" w:hAnsi="黑体" w:eastAsia="黑体" w:cs="黑体"/>
          <w:b w:val="0"/>
          <w:bCs w:val="0"/>
          <w:color w:val="auto"/>
          <w:sz w:val="32"/>
          <w:szCs w:val="32"/>
          <w:lang w:val="en-US" w:eastAsia="zh-CN"/>
        </w:rPr>
        <w:t>以及预期效益</w:t>
      </w:r>
    </w:p>
    <w:p w14:paraId="1B06B2AF">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标准的研发团队是项目牵头单位的软件开发成本度量业务的主要部门，具有丰富的生产、技术、创新、管理等方面的经验，在国内软件造价行业具有较大影响力和号召力。通过发布本标准期望依据科学有效的技术标准，提升软件开发成本度量相关机构的共识，协助软件主管机构规避软件开发领域的资金风险，降本增效；良性保障软件研发机构的合理利润并促进研发机构主动技术优化获取更高合理利润，从而最大限度的维系各方的经济效益和社会效益。因此通过制定团体标准《基于COSMIC方法的软件开发成本度量实施规程》，对于软件开发成本度量业务的发展具有重要意义。</w:t>
      </w:r>
    </w:p>
    <w:bookmarkEnd w:id="5"/>
    <w:p w14:paraId="6CC76879">
      <w:pPr>
        <w:pStyle w:val="3"/>
        <w:keepNext/>
        <w:keepLines/>
        <w:pageBreakBefore w:val="0"/>
        <w:widowControl w:val="0"/>
        <w:kinsoku/>
        <w:wordWrap/>
        <w:overflowPunct/>
        <w:topLinePunct w:val="0"/>
        <w:autoSpaceDE/>
        <w:autoSpaceDN/>
        <w:bidi w:val="0"/>
        <w:adjustRightInd/>
        <w:snapToGrid/>
        <w:spacing w:before="0" w:after="0" w:line="540" w:lineRule="exact"/>
        <w:ind w:firstLine="640" w:firstLineChars="200"/>
        <w:jc w:val="both"/>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四、与现行相关法律、法规及相关标准的关系</w:t>
      </w:r>
    </w:p>
    <w:p w14:paraId="1B9DAB34">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本标准编制过程中主要参考了《GB/T 36964-2018 软件工程 软件开发成本度量规范》《GB/T 42452-2023系统与软件工程 功能规模测量 COSMIC方法》等重要性标准的要求和内容，在软件开发成本度量的相同的过程、关键技术、术语、定义等内容均与以上标准协调一致。</w:t>
      </w:r>
    </w:p>
    <w:p w14:paraId="56511E53">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另外，国外发布了COSMIC功能点方法的国际标准，国内也发布了对应的国家标准，不过功能点方法均只涉及到软件规模度量；国内发布了软件开发成本度量技术规范，如《GB/T 36964-2018软件工程软件开发成本度量规范》，提出了多种通用度量方法的原则性要求，但缺少基于COSMIC功能点方法实际应用的具体实施技术规范。总之，本标准是在相关的国家、行业及山东省地方标准基础上的补充、创新。</w:t>
      </w:r>
    </w:p>
    <w:p w14:paraId="54244A20">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kern w:val="44"/>
          <w:sz w:val="32"/>
          <w:szCs w:val="32"/>
          <w:lang w:val="en-US" w:eastAsia="zh-CN" w:bidi="ar-SA"/>
        </w:rPr>
        <w:t>五、</w:t>
      </w:r>
      <w:r>
        <w:rPr>
          <w:rFonts w:hint="eastAsia" w:ascii="黑体" w:hAnsi="黑体" w:eastAsia="黑体" w:cs="黑体"/>
          <w:b w:val="0"/>
          <w:bCs w:val="0"/>
          <w:color w:val="auto"/>
          <w:sz w:val="32"/>
          <w:szCs w:val="32"/>
          <w:lang w:val="en-US" w:eastAsia="zh-CN"/>
        </w:rPr>
        <w:t>采用国际标准和国外先进标准情况，与国际、国外同类标准水平的对比情况，国内外关键指标对比分析或与测试的国外样品、样机的相关数据对比情况</w:t>
      </w:r>
    </w:p>
    <w:p w14:paraId="2C593134">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无</w:t>
      </w:r>
    </w:p>
    <w:p w14:paraId="4A3EC9C3">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left="0" w:leftChars="0" w:firstLine="640" w:firstLineChars="200"/>
        <w:jc w:val="both"/>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kern w:val="44"/>
          <w:sz w:val="32"/>
          <w:szCs w:val="32"/>
          <w:lang w:val="en-US" w:eastAsia="zh-CN" w:bidi="ar-SA"/>
        </w:rPr>
        <w:t>六、</w:t>
      </w:r>
      <w:r>
        <w:rPr>
          <w:rFonts w:hint="eastAsia" w:ascii="黑体" w:hAnsi="黑体" w:eastAsia="黑体" w:cs="黑体"/>
          <w:b w:val="0"/>
          <w:bCs w:val="0"/>
          <w:color w:val="auto"/>
          <w:sz w:val="32"/>
          <w:szCs w:val="32"/>
          <w:lang w:val="en-US" w:eastAsia="zh-CN"/>
        </w:rPr>
        <w:t>标准中如果涉及专利，应有明确的知识产权说明</w:t>
      </w:r>
    </w:p>
    <w:p w14:paraId="6ECFF39C">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本标准不涉及专利。</w:t>
      </w:r>
    </w:p>
    <w:p w14:paraId="1B2BA7D4">
      <w:pPr>
        <w:keepNext/>
        <w:keepLines/>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eastAsia" w:ascii="黑体" w:hAnsi="黑体" w:eastAsia="黑体" w:cs="黑体"/>
          <w:b w:val="0"/>
          <w:bCs w:val="0"/>
          <w:color w:val="auto"/>
          <w:kern w:val="44"/>
          <w:sz w:val="32"/>
          <w:szCs w:val="32"/>
          <w:lang w:val="en-US" w:eastAsia="zh-CN" w:bidi="ar-SA"/>
        </w:rPr>
      </w:pPr>
      <w:bookmarkStart w:id="6" w:name="_Toc525206149"/>
      <w:bookmarkStart w:id="7" w:name="_Toc500430265"/>
      <w:r>
        <w:rPr>
          <w:rFonts w:hint="eastAsia" w:ascii="黑体" w:hAnsi="黑体" w:eastAsia="黑体" w:cs="黑体"/>
          <w:b w:val="0"/>
          <w:bCs w:val="0"/>
          <w:color w:val="auto"/>
          <w:kern w:val="44"/>
          <w:sz w:val="32"/>
          <w:szCs w:val="32"/>
          <w:lang w:val="en-US" w:eastAsia="zh-CN" w:bidi="ar-SA"/>
        </w:rPr>
        <w:t>七、重大分歧意见的处理过程、处理意见及其依据</w:t>
      </w:r>
      <w:bookmarkEnd w:id="6"/>
    </w:p>
    <w:p w14:paraId="5A8620A9">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本标准研制过程中无重大分歧意见。</w:t>
      </w:r>
    </w:p>
    <w:bookmarkEnd w:id="7"/>
    <w:p w14:paraId="7A7C6B6A">
      <w:pPr>
        <w:keepNext/>
        <w:keepLines/>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jc w:val="both"/>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kern w:val="2"/>
          <w:sz w:val="32"/>
          <w:szCs w:val="32"/>
          <w:lang w:val="en-US" w:eastAsia="zh-CN" w:bidi="ar-SA"/>
        </w:rPr>
        <w:t>八、</w:t>
      </w:r>
      <w:r>
        <w:rPr>
          <w:rFonts w:hint="eastAsia" w:ascii="黑体" w:hAnsi="黑体" w:eastAsia="黑体" w:cs="黑体"/>
          <w:b w:val="0"/>
          <w:bCs w:val="0"/>
          <w:color w:val="auto"/>
          <w:sz w:val="32"/>
          <w:szCs w:val="32"/>
          <w:lang w:val="en-US" w:eastAsia="zh-CN"/>
        </w:rPr>
        <w:t>实施标准的要求以及相关措施建议</w:t>
      </w:r>
    </w:p>
    <w:p w14:paraId="7551F144">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1.山东科技咨询协会宜制定相应的实施意见，如对该标准的宣传、贯彻制定切实可行的措施，做好宣传培训，实施推广等工作。</w:t>
      </w:r>
    </w:p>
    <w:p w14:paraId="55E3C2B4">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中国移动通信集团设计院有限公司山东分公司作为牵头起草单位，应定期对本标准实施情况进行调查，并对实施效果进行跟踪评估，及时解决实施中的问题，不断修改完善，提升标准水平，提高标准的科学性、合理性、协调性和可操作性。</w:t>
      </w:r>
    </w:p>
    <w:p w14:paraId="5EE1C892">
      <w:pPr>
        <w:pStyle w:val="3"/>
        <w:keepNext/>
        <w:keepLines/>
        <w:pageBreakBefore w:val="0"/>
        <w:widowControl w:val="0"/>
        <w:kinsoku/>
        <w:wordWrap/>
        <w:overflowPunct/>
        <w:topLinePunct w:val="0"/>
        <w:autoSpaceDE/>
        <w:autoSpaceDN/>
        <w:bidi w:val="0"/>
        <w:adjustRightInd/>
        <w:snapToGrid/>
        <w:spacing w:before="0" w:after="0" w:line="540" w:lineRule="exact"/>
        <w:ind w:firstLine="640" w:firstLineChars="200"/>
        <w:jc w:val="both"/>
        <w:textAlignment w:val="auto"/>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lang w:val="en-US" w:eastAsia="zh-CN"/>
        </w:rPr>
        <w:t>九、</w:t>
      </w:r>
      <w:r>
        <w:rPr>
          <w:rFonts w:hint="eastAsia" w:ascii="黑体" w:hAnsi="黑体" w:eastAsia="黑体" w:cs="黑体"/>
          <w:b w:val="0"/>
          <w:bCs w:val="0"/>
          <w:color w:val="auto"/>
          <w:sz w:val="32"/>
          <w:szCs w:val="32"/>
        </w:rPr>
        <w:t>其他应当说明的事项</w:t>
      </w:r>
    </w:p>
    <w:p w14:paraId="469B1972">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无</w:t>
      </w:r>
    </w:p>
    <w:p w14:paraId="7BC7DAA7">
      <w:pPr>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color w:val="auto"/>
          <w:sz w:val="32"/>
          <w:szCs w:val="32"/>
        </w:rPr>
      </w:pPr>
    </w:p>
    <w:p w14:paraId="178B06C0">
      <w:pPr>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color w:val="auto"/>
          <w:sz w:val="32"/>
          <w:szCs w:val="32"/>
        </w:rPr>
      </w:pPr>
    </w:p>
    <w:p w14:paraId="7285048D">
      <w:pPr>
        <w:pageBreakBefore w:val="0"/>
        <w:widowControl w:val="0"/>
        <w:kinsoku/>
        <w:wordWrap/>
        <w:overflowPunct/>
        <w:topLinePunct w:val="0"/>
        <w:autoSpaceDE/>
        <w:autoSpaceDN/>
        <w:bidi w:val="0"/>
        <w:adjustRightInd/>
        <w:snapToGrid/>
        <w:spacing w:line="540" w:lineRule="exact"/>
        <w:ind w:firstLine="960" w:firstLineChars="300"/>
        <w:jc w:val="righ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《基于COSMIC方法的软件开发成本度量实施规程》</w:t>
      </w:r>
      <w:r>
        <w:rPr>
          <w:rFonts w:hint="eastAsia" w:ascii="仿宋_GB2312" w:hAnsi="仿宋_GB2312" w:eastAsia="仿宋_GB2312" w:cs="仿宋_GB2312"/>
          <w:color w:val="auto"/>
          <w:sz w:val="32"/>
          <w:szCs w:val="32"/>
        </w:rPr>
        <w:br w:type="textWrapping"/>
      </w:r>
      <w:r>
        <w:rPr>
          <w:rFonts w:hint="eastAsia" w:ascii="仿宋_GB2312" w:hAnsi="仿宋_GB2312" w:eastAsia="仿宋_GB2312" w:cs="仿宋_GB2312"/>
          <w:color w:val="auto"/>
          <w:sz w:val="32"/>
          <w:szCs w:val="32"/>
        </w:rPr>
        <w:t>团体标准起草组</w:t>
      </w:r>
    </w:p>
    <w:p w14:paraId="35286AF4">
      <w:pPr>
        <w:pageBreakBefore w:val="0"/>
        <w:widowControl w:val="0"/>
        <w:kinsoku/>
        <w:wordWrap/>
        <w:overflowPunct/>
        <w:topLinePunct w:val="0"/>
        <w:autoSpaceDE/>
        <w:autoSpaceDN/>
        <w:bidi w:val="0"/>
        <w:adjustRightInd/>
        <w:snapToGrid/>
        <w:spacing w:line="540" w:lineRule="exact"/>
        <w:ind w:firstLine="6400" w:firstLineChars="2000"/>
        <w:textAlignment w:val="auto"/>
        <w:rPr>
          <w:rFonts w:hint="eastAsia" w:ascii="仿宋_GB2312" w:hAnsi="仿宋_GB2312" w:eastAsia="仿宋_GB2312" w:cs="仿宋_GB2312"/>
          <w:color w:val="auto"/>
          <w:sz w:val="32"/>
          <w:szCs w:val="32"/>
        </w:rPr>
      </w:pPr>
      <w:bookmarkStart w:id="8" w:name="_GoBack"/>
      <w:bookmarkEnd w:id="8"/>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9</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9</w:t>
      </w:r>
      <w:r>
        <w:rPr>
          <w:rFonts w:hint="eastAsia" w:ascii="仿宋_GB2312" w:hAnsi="仿宋_GB2312" w:eastAsia="仿宋_GB2312" w:cs="仿宋_GB2312"/>
          <w:color w:val="auto"/>
          <w:sz w:val="32"/>
          <w:szCs w:val="32"/>
        </w:rPr>
        <w:t>日</w:t>
      </w:r>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ingLiU">
    <w:altName w:val="PMingLiU-ExtB"/>
    <w:panose1 w:val="02010609000101010101"/>
    <w:charset w:val="88"/>
    <w:family w:val="modern"/>
    <w:pitch w:val="default"/>
    <w:sig w:usb0="00000000" w:usb1="00000000" w:usb2="00000010" w:usb3="00000000" w:csb0="0010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PMingLiU-ExtB">
    <w:panose1 w:val="02020500000000000000"/>
    <w:charset w:val="88"/>
    <w:family w:val="auto"/>
    <w:pitch w:val="default"/>
    <w:sig w:usb0="8000002F" w:usb1="02000008" w:usb2="00000000" w:usb3="00000000" w:csb0="00100001"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5E2C7">
    <w:pPr>
      <w:pStyle w:val="8"/>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670555938"/>
                            <w:docPartObj>
                              <w:docPartGallery w:val="autotext"/>
                            </w:docPartObj>
                          </w:sdtPr>
                          <w:sdtEndPr>
                            <w:rPr>
                              <w:rFonts w:hint="eastAsia" w:ascii="仿宋_GB2312" w:eastAsia="仿宋_GB2312"/>
                            </w:rPr>
                          </w:sdtEndPr>
                          <w:sdtContent>
                            <w:p w14:paraId="78A232E7">
                              <w:pPr>
                                <w:pStyle w:val="8"/>
                                <w:jc w:val="center"/>
                                <w:rPr>
                                  <w:rFonts w:hint="eastAsia" w:ascii="仿宋_GB2312" w:eastAsia="仿宋_GB2312"/>
                                </w:rPr>
                              </w:pPr>
                              <w:r>
                                <w:rPr>
                                  <w:rFonts w:hint="eastAsia" w:asciiTheme="minorEastAsia" w:hAnsiTheme="minorEastAsia" w:eastAsiaTheme="minorEastAsia" w:cstheme="minorEastAsia"/>
                                  <w:sz w:val="21"/>
                                  <w:szCs w:val="21"/>
                                </w:rPr>
                                <w:fldChar w:fldCharType="begin"/>
                              </w:r>
                              <w:r>
                                <w:rPr>
                                  <w:rFonts w:hint="eastAsia" w:asciiTheme="minorEastAsia" w:hAnsiTheme="minorEastAsia" w:eastAsiaTheme="minorEastAsia" w:cstheme="minorEastAsia"/>
                                  <w:sz w:val="21"/>
                                  <w:szCs w:val="21"/>
                                </w:rPr>
                                <w:instrText xml:space="preserve">PAGE   \* MERGEFORMAT</w:instrText>
                              </w:r>
                              <w:r>
                                <w:rPr>
                                  <w:rFonts w:hint="eastAsia" w:asciiTheme="minorEastAsia" w:hAnsiTheme="minorEastAsia" w:eastAsiaTheme="minorEastAsia" w:cstheme="minorEastAsia"/>
                                  <w:sz w:val="21"/>
                                  <w:szCs w:val="21"/>
                                </w:rPr>
                                <w:fldChar w:fldCharType="separate"/>
                              </w:r>
                              <w:r>
                                <w:rPr>
                                  <w:rFonts w:hint="eastAsia" w:asciiTheme="minorEastAsia" w:hAnsiTheme="minorEastAsia" w:eastAsiaTheme="minorEastAsia" w:cstheme="minorEastAsia"/>
                                  <w:sz w:val="21"/>
                                  <w:szCs w:val="21"/>
                                  <w:lang w:val="zh-CN"/>
                                </w:rPr>
                                <w:t>6</w:t>
                              </w:r>
                              <w:r>
                                <w:rPr>
                                  <w:rFonts w:hint="eastAsia" w:asciiTheme="minorEastAsia" w:hAnsiTheme="minorEastAsia" w:eastAsiaTheme="minorEastAsia" w:cstheme="minorEastAsia"/>
                                  <w:sz w:val="21"/>
                                  <w:szCs w:val="21"/>
                                </w:rPr>
                                <w:fldChar w:fldCharType="end"/>
                              </w:r>
                            </w:p>
                          </w:sdtContent>
                        </w:sdt>
                        <w:p w14:paraId="0F9E29E5">
                          <w:pPr>
                            <w:pStyle w:val="1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sdt>
                    <w:sdtPr>
                      <w:id w:val="-670555938"/>
                      <w:docPartObj>
                        <w:docPartGallery w:val="autotext"/>
                      </w:docPartObj>
                    </w:sdtPr>
                    <w:sdtEndPr>
                      <w:rPr>
                        <w:rFonts w:hint="eastAsia" w:ascii="仿宋_GB2312" w:eastAsia="仿宋_GB2312"/>
                      </w:rPr>
                    </w:sdtEndPr>
                    <w:sdtContent>
                      <w:p w14:paraId="78A232E7">
                        <w:pPr>
                          <w:pStyle w:val="8"/>
                          <w:jc w:val="center"/>
                          <w:rPr>
                            <w:rFonts w:hint="eastAsia" w:ascii="仿宋_GB2312" w:eastAsia="仿宋_GB2312"/>
                          </w:rPr>
                        </w:pPr>
                        <w:r>
                          <w:rPr>
                            <w:rFonts w:hint="eastAsia" w:asciiTheme="minorEastAsia" w:hAnsiTheme="minorEastAsia" w:eastAsiaTheme="minorEastAsia" w:cstheme="minorEastAsia"/>
                            <w:sz w:val="21"/>
                            <w:szCs w:val="21"/>
                          </w:rPr>
                          <w:fldChar w:fldCharType="begin"/>
                        </w:r>
                        <w:r>
                          <w:rPr>
                            <w:rFonts w:hint="eastAsia" w:asciiTheme="minorEastAsia" w:hAnsiTheme="minorEastAsia" w:eastAsiaTheme="minorEastAsia" w:cstheme="minorEastAsia"/>
                            <w:sz w:val="21"/>
                            <w:szCs w:val="21"/>
                          </w:rPr>
                          <w:instrText xml:space="preserve">PAGE   \* MERGEFORMAT</w:instrText>
                        </w:r>
                        <w:r>
                          <w:rPr>
                            <w:rFonts w:hint="eastAsia" w:asciiTheme="minorEastAsia" w:hAnsiTheme="minorEastAsia" w:eastAsiaTheme="minorEastAsia" w:cstheme="minorEastAsia"/>
                            <w:sz w:val="21"/>
                            <w:szCs w:val="21"/>
                          </w:rPr>
                          <w:fldChar w:fldCharType="separate"/>
                        </w:r>
                        <w:r>
                          <w:rPr>
                            <w:rFonts w:hint="eastAsia" w:asciiTheme="minorEastAsia" w:hAnsiTheme="minorEastAsia" w:eastAsiaTheme="minorEastAsia" w:cstheme="minorEastAsia"/>
                            <w:sz w:val="21"/>
                            <w:szCs w:val="21"/>
                            <w:lang w:val="zh-CN"/>
                          </w:rPr>
                          <w:t>6</w:t>
                        </w:r>
                        <w:r>
                          <w:rPr>
                            <w:rFonts w:hint="eastAsia" w:asciiTheme="minorEastAsia" w:hAnsiTheme="minorEastAsia" w:eastAsiaTheme="minorEastAsia" w:cstheme="minorEastAsia"/>
                            <w:sz w:val="21"/>
                            <w:szCs w:val="21"/>
                          </w:rPr>
                          <w:fldChar w:fldCharType="end"/>
                        </w:r>
                      </w:p>
                    </w:sdtContent>
                  </w:sdt>
                  <w:p w14:paraId="0F9E29E5">
                    <w:pPr>
                      <w:pStyle w:val="12"/>
                    </w:pPr>
                  </w:p>
                </w:txbxContent>
              </v:textbox>
            </v:shape>
          </w:pict>
        </mc:Fallback>
      </mc:AlternateContent>
    </w:r>
  </w:p>
  <w:p w14:paraId="6DEEC2CB">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C91163"/>
    <w:multiLevelType w:val="multilevel"/>
    <w:tmpl w:val="1FC91163"/>
    <w:lvl w:ilvl="0" w:tentative="0">
      <w:start w:val="1"/>
      <w:numFmt w:val="decimal"/>
      <w:pStyle w:val="26"/>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25"/>
      <w:suff w:val="nothing"/>
      <w:lvlText w:val="%1.%2　"/>
      <w:lvlJc w:val="left"/>
      <w:pPr>
        <w:ind w:left="420"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14:shadow w14:blurRad="0" w14:dist="0" w14:dir="0" w14:sx="0" w14:sy="0" w14:kx="0" w14:ky="0" w14:algn="none">
          <w14:srgbClr w14:val="000000"/>
        </w14:shadow>
      </w:rPr>
    </w:lvl>
    <w:lvl w:ilvl="2" w:tentative="0">
      <w:start w:val="1"/>
      <w:numFmt w:val="decimal"/>
      <w:pStyle w:val="27"/>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pStyle w:val="28"/>
      <w:suff w:val="nothing"/>
      <w:lvlText w:val="%1.%2.%3.%4.%5　"/>
      <w:lvlJc w:val="left"/>
      <w:pPr>
        <w:ind w:left="0" w:firstLine="0"/>
      </w:pPr>
      <w:rPr>
        <w:rFonts w:hint="eastAsia" w:ascii="黑体" w:hAnsi="Times New Roman" w:eastAsia="黑体"/>
        <w:b w:val="0"/>
        <w:i w:val="0"/>
        <w:sz w:val="21"/>
      </w:rPr>
    </w:lvl>
    <w:lvl w:ilvl="5" w:tentative="0">
      <w:start w:val="1"/>
      <w:numFmt w:val="decimal"/>
      <w:pStyle w:val="29"/>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3ZjBiYTM5YzYxNDE1MjhiM2EzOWIzOGY4MmQ4N2MifQ=="/>
  </w:docVars>
  <w:rsids>
    <w:rsidRoot w:val="00BE322A"/>
    <w:rsid w:val="00015AC7"/>
    <w:rsid w:val="00022A36"/>
    <w:rsid w:val="00023F47"/>
    <w:rsid w:val="0002554B"/>
    <w:rsid w:val="000265A1"/>
    <w:rsid w:val="000305B6"/>
    <w:rsid w:val="00033339"/>
    <w:rsid w:val="00042054"/>
    <w:rsid w:val="00043386"/>
    <w:rsid w:val="00052685"/>
    <w:rsid w:val="00052A96"/>
    <w:rsid w:val="00053A81"/>
    <w:rsid w:val="0005418C"/>
    <w:rsid w:val="0006163A"/>
    <w:rsid w:val="000616B7"/>
    <w:rsid w:val="00064EBB"/>
    <w:rsid w:val="00072996"/>
    <w:rsid w:val="0007766E"/>
    <w:rsid w:val="00077B3D"/>
    <w:rsid w:val="00082242"/>
    <w:rsid w:val="00094784"/>
    <w:rsid w:val="000A4CEE"/>
    <w:rsid w:val="000B1E1D"/>
    <w:rsid w:val="000C0C6B"/>
    <w:rsid w:val="000C2EC0"/>
    <w:rsid w:val="000C37ED"/>
    <w:rsid w:val="000C7C6F"/>
    <w:rsid w:val="000D009A"/>
    <w:rsid w:val="000D06A6"/>
    <w:rsid w:val="000D0AF1"/>
    <w:rsid w:val="000D518E"/>
    <w:rsid w:val="000E371B"/>
    <w:rsid w:val="000E5BD2"/>
    <w:rsid w:val="000F3575"/>
    <w:rsid w:val="000F3CE6"/>
    <w:rsid w:val="000F734F"/>
    <w:rsid w:val="00102206"/>
    <w:rsid w:val="00102844"/>
    <w:rsid w:val="00105E38"/>
    <w:rsid w:val="00111B5B"/>
    <w:rsid w:val="00113025"/>
    <w:rsid w:val="00121E6D"/>
    <w:rsid w:val="0012361E"/>
    <w:rsid w:val="00123A05"/>
    <w:rsid w:val="00130E35"/>
    <w:rsid w:val="00136843"/>
    <w:rsid w:val="00140EC5"/>
    <w:rsid w:val="001412CF"/>
    <w:rsid w:val="001428B7"/>
    <w:rsid w:val="001536C4"/>
    <w:rsid w:val="00162990"/>
    <w:rsid w:val="001642C5"/>
    <w:rsid w:val="00171B07"/>
    <w:rsid w:val="00171E2E"/>
    <w:rsid w:val="0017268A"/>
    <w:rsid w:val="00180FD1"/>
    <w:rsid w:val="001A08C9"/>
    <w:rsid w:val="001A6846"/>
    <w:rsid w:val="001B0BD1"/>
    <w:rsid w:val="001B1816"/>
    <w:rsid w:val="001C171D"/>
    <w:rsid w:val="001C17B3"/>
    <w:rsid w:val="001C6719"/>
    <w:rsid w:val="001D1C64"/>
    <w:rsid w:val="001D50A2"/>
    <w:rsid w:val="001E027A"/>
    <w:rsid w:val="001E4BB2"/>
    <w:rsid w:val="001E519C"/>
    <w:rsid w:val="001E6329"/>
    <w:rsid w:val="001F10E3"/>
    <w:rsid w:val="001F151B"/>
    <w:rsid w:val="00200B3A"/>
    <w:rsid w:val="00203F6E"/>
    <w:rsid w:val="0020603C"/>
    <w:rsid w:val="002105C3"/>
    <w:rsid w:val="00212CA0"/>
    <w:rsid w:val="0022263F"/>
    <w:rsid w:val="002348C4"/>
    <w:rsid w:val="00237F87"/>
    <w:rsid w:val="00244AFE"/>
    <w:rsid w:val="002456F6"/>
    <w:rsid w:val="00251ECB"/>
    <w:rsid w:val="0025565D"/>
    <w:rsid w:val="00263CD8"/>
    <w:rsid w:val="0027016F"/>
    <w:rsid w:val="0027793D"/>
    <w:rsid w:val="00286402"/>
    <w:rsid w:val="00286E3F"/>
    <w:rsid w:val="002924A5"/>
    <w:rsid w:val="002935C9"/>
    <w:rsid w:val="002942F9"/>
    <w:rsid w:val="002A11D1"/>
    <w:rsid w:val="002A1E77"/>
    <w:rsid w:val="002A32B4"/>
    <w:rsid w:val="002A7D53"/>
    <w:rsid w:val="002B1FCC"/>
    <w:rsid w:val="002B3942"/>
    <w:rsid w:val="002B4132"/>
    <w:rsid w:val="002C7275"/>
    <w:rsid w:val="002D0899"/>
    <w:rsid w:val="002D3C9F"/>
    <w:rsid w:val="002D5838"/>
    <w:rsid w:val="002D718A"/>
    <w:rsid w:val="002F01DD"/>
    <w:rsid w:val="002F2AB2"/>
    <w:rsid w:val="00313407"/>
    <w:rsid w:val="00317911"/>
    <w:rsid w:val="00320F49"/>
    <w:rsid w:val="003213A2"/>
    <w:rsid w:val="00322CA7"/>
    <w:rsid w:val="00323F42"/>
    <w:rsid w:val="00324730"/>
    <w:rsid w:val="0032567E"/>
    <w:rsid w:val="0033086E"/>
    <w:rsid w:val="00330C4B"/>
    <w:rsid w:val="003354D4"/>
    <w:rsid w:val="00337684"/>
    <w:rsid w:val="00337A15"/>
    <w:rsid w:val="00343206"/>
    <w:rsid w:val="00343B1E"/>
    <w:rsid w:val="00355488"/>
    <w:rsid w:val="00355CC4"/>
    <w:rsid w:val="00356EFF"/>
    <w:rsid w:val="00360AF0"/>
    <w:rsid w:val="00367355"/>
    <w:rsid w:val="0037004A"/>
    <w:rsid w:val="00372E5F"/>
    <w:rsid w:val="00374F14"/>
    <w:rsid w:val="00382666"/>
    <w:rsid w:val="0039437A"/>
    <w:rsid w:val="00394689"/>
    <w:rsid w:val="003A42C2"/>
    <w:rsid w:val="003A7F4A"/>
    <w:rsid w:val="003B256F"/>
    <w:rsid w:val="003B3E25"/>
    <w:rsid w:val="003B42B7"/>
    <w:rsid w:val="003B44C5"/>
    <w:rsid w:val="003B4FE7"/>
    <w:rsid w:val="003B58FE"/>
    <w:rsid w:val="003C2767"/>
    <w:rsid w:val="003C368C"/>
    <w:rsid w:val="003D64AF"/>
    <w:rsid w:val="003E0258"/>
    <w:rsid w:val="003E180A"/>
    <w:rsid w:val="003E3D15"/>
    <w:rsid w:val="003E6647"/>
    <w:rsid w:val="003F1C3B"/>
    <w:rsid w:val="003F1D02"/>
    <w:rsid w:val="00403B1F"/>
    <w:rsid w:val="00406DFF"/>
    <w:rsid w:val="004115F6"/>
    <w:rsid w:val="00412470"/>
    <w:rsid w:val="00415BC3"/>
    <w:rsid w:val="00425258"/>
    <w:rsid w:val="004276A7"/>
    <w:rsid w:val="00445F08"/>
    <w:rsid w:val="00454895"/>
    <w:rsid w:val="004558E0"/>
    <w:rsid w:val="00461BD3"/>
    <w:rsid w:val="00467016"/>
    <w:rsid w:val="00467933"/>
    <w:rsid w:val="00481472"/>
    <w:rsid w:val="00485033"/>
    <w:rsid w:val="00485F9A"/>
    <w:rsid w:val="0048646E"/>
    <w:rsid w:val="00487D41"/>
    <w:rsid w:val="00493561"/>
    <w:rsid w:val="00495468"/>
    <w:rsid w:val="004A2241"/>
    <w:rsid w:val="004A26DD"/>
    <w:rsid w:val="004A3069"/>
    <w:rsid w:val="004B1B50"/>
    <w:rsid w:val="004B3205"/>
    <w:rsid w:val="004B78C4"/>
    <w:rsid w:val="004C15B8"/>
    <w:rsid w:val="004C46B8"/>
    <w:rsid w:val="004C6611"/>
    <w:rsid w:val="004C6DDE"/>
    <w:rsid w:val="004D0B34"/>
    <w:rsid w:val="004D53F3"/>
    <w:rsid w:val="004E14D8"/>
    <w:rsid w:val="004E595D"/>
    <w:rsid w:val="004F019B"/>
    <w:rsid w:val="004F0CBA"/>
    <w:rsid w:val="004F3CD9"/>
    <w:rsid w:val="004F4A60"/>
    <w:rsid w:val="004F6BA4"/>
    <w:rsid w:val="00506CCF"/>
    <w:rsid w:val="00512708"/>
    <w:rsid w:val="005166B9"/>
    <w:rsid w:val="00517510"/>
    <w:rsid w:val="005201C9"/>
    <w:rsid w:val="00521352"/>
    <w:rsid w:val="005304EF"/>
    <w:rsid w:val="00532FF1"/>
    <w:rsid w:val="00535279"/>
    <w:rsid w:val="00537463"/>
    <w:rsid w:val="00540AE9"/>
    <w:rsid w:val="00540F37"/>
    <w:rsid w:val="00541804"/>
    <w:rsid w:val="0054446D"/>
    <w:rsid w:val="0057065F"/>
    <w:rsid w:val="005735C3"/>
    <w:rsid w:val="00590833"/>
    <w:rsid w:val="005914A0"/>
    <w:rsid w:val="00591A26"/>
    <w:rsid w:val="005928EB"/>
    <w:rsid w:val="005A3462"/>
    <w:rsid w:val="005A42E7"/>
    <w:rsid w:val="005A46F5"/>
    <w:rsid w:val="005B064E"/>
    <w:rsid w:val="005B6F6E"/>
    <w:rsid w:val="005C2FB6"/>
    <w:rsid w:val="005C326E"/>
    <w:rsid w:val="005D1652"/>
    <w:rsid w:val="005D550F"/>
    <w:rsid w:val="005D77F1"/>
    <w:rsid w:val="005E06CA"/>
    <w:rsid w:val="005E1700"/>
    <w:rsid w:val="005E2916"/>
    <w:rsid w:val="005E2918"/>
    <w:rsid w:val="005E552E"/>
    <w:rsid w:val="005F28CA"/>
    <w:rsid w:val="0060009B"/>
    <w:rsid w:val="00602FA8"/>
    <w:rsid w:val="00605CF6"/>
    <w:rsid w:val="00606E23"/>
    <w:rsid w:val="0060753B"/>
    <w:rsid w:val="006076CE"/>
    <w:rsid w:val="00610001"/>
    <w:rsid w:val="006138F0"/>
    <w:rsid w:val="006174BA"/>
    <w:rsid w:val="00617773"/>
    <w:rsid w:val="00617A54"/>
    <w:rsid w:val="006329D3"/>
    <w:rsid w:val="00632E74"/>
    <w:rsid w:val="006350FC"/>
    <w:rsid w:val="006361AC"/>
    <w:rsid w:val="0064109B"/>
    <w:rsid w:val="006426B2"/>
    <w:rsid w:val="0064312B"/>
    <w:rsid w:val="00643242"/>
    <w:rsid w:val="00652DFC"/>
    <w:rsid w:val="00654DFA"/>
    <w:rsid w:val="006552A4"/>
    <w:rsid w:val="006573F9"/>
    <w:rsid w:val="00660AEF"/>
    <w:rsid w:val="00661410"/>
    <w:rsid w:val="006668C9"/>
    <w:rsid w:val="00671FDF"/>
    <w:rsid w:val="00672136"/>
    <w:rsid w:val="00674586"/>
    <w:rsid w:val="00675842"/>
    <w:rsid w:val="00685F50"/>
    <w:rsid w:val="00690617"/>
    <w:rsid w:val="006A2C58"/>
    <w:rsid w:val="006A3426"/>
    <w:rsid w:val="006B6F9C"/>
    <w:rsid w:val="006C3307"/>
    <w:rsid w:val="006C3F29"/>
    <w:rsid w:val="006C5673"/>
    <w:rsid w:val="006C6B05"/>
    <w:rsid w:val="006D3854"/>
    <w:rsid w:val="006D5B0C"/>
    <w:rsid w:val="006D5FB2"/>
    <w:rsid w:val="006D759C"/>
    <w:rsid w:val="006E14A7"/>
    <w:rsid w:val="00700EA6"/>
    <w:rsid w:val="00701D58"/>
    <w:rsid w:val="00703792"/>
    <w:rsid w:val="00711346"/>
    <w:rsid w:val="007151F8"/>
    <w:rsid w:val="00721C8C"/>
    <w:rsid w:val="007245AB"/>
    <w:rsid w:val="00726470"/>
    <w:rsid w:val="007314A7"/>
    <w:rsid w:val="007316CF"/>
    <w:rsid w:val="00735EE0"/>
    <w:rsid w:val="0074033B"/>
    <w:rsid w:val="007437D3"/>
    <w:rsid w:val="00745F82"/>
    <w:rsid w:val="0075111F"/>
    <w:rsid w:val="00751F87"/>
    <w:rsid w:val="00753E69"/>
    <w:rsid w:val="0076052C"/>
    <w:rsid w:val="00761981"/>
    <w:rsid w:val="007632A7"/>
    <w:rsid w:val="00766F3C"/>
    <w:rsid w:val="007730FA"/>
    <w:rsid w:val="007747A2"/>
    <w:rsid w:val="0077615F"/>
    <w:rsid w:val="00783E11"/>
    <w:rsid w:val="007843FE"/>
    <w:rsid w:val="00791A2F"/>
    <w:rsid w:val="007929A7"/>
    <w:rsid w:val="00793008"/>
    <w:rsid w:val="007936E1"/>
    <w:rsid w:val="007953D7"/>
    <w:rsid w:val="007969B3"/>
    <w:rsid w:val="007A12CA"/>
    <w:rsid w:val="007A204D"/>
    <w:rsid w:val="007A3EC2"/>
    <w:rsid w:val="007A71E2"/>
    <w:rsid w:val="007B47C3"/>
    <w:rsid w:val="007C0E91"/>
    <w:rsid w:val="007C6F58"/>
    <w:rsid w:val="007D22C9"/>
    <w:rsid w:val="007D71CA"/>
    <w:rsid w:val="007F167A"/>
    <w:rsid w:val="007F3152"/>
    <w:rsid w:val="007F4CC7"/>
    <w:rsid w:val="00801656"/>
    <w:rsid w:val="008041D8"/>
    <w:rsid w:val="0081097C"/>
    <w:rsid w:val="00811D02"/>
    <w:rsid w:val="0081543F"/>
    <w:rsid w:val="0081600A"/>
    <w:rsid w:val="00816653"/>
    <w:rsid w:val="00822FA4"/>
    <w:rsid w:val="00823016"/>
    <w:rsid w:val="00825B8D"/>
    <w:rsid w:val="00834FC6"/>
    <w:rsid w:val="00842447"/>
    <w:rsid w:val="00845990"/>
    <w:rsid w:val="00845E59"/>
    <w:rsid w:val="00846378"/>
    <w:rsid w:val="008525CC"/>
    <w:rsid w:val="00853671"/>
    <w:rsid w:val="0085405C"/>
    <w:rsid w:val="00854F51"/>
    <w:rsid w:val="00854F8A"/>
    <w:rsid w:val="0085724C"/>
    <w:rsid w:val="00857955"/>
    <w:rsid w:val="0086019B"/>
    <w:rsid w:val="0086356E"/>
    <w:rsid w:val="008645CC"/>
    <w:rsid w:val="0086528F"/>
    <w:rsid w:val="0087647E"/>
    <w:rsid w:val="008802DB"/>
    <w:rsid w:val="0088204B"/>
    <w:rsid w:val="008862A7"/>
    <w:rsid w:val="00886C74"/>
    <w:rsid w:val="00891821"/>
    <w:rsid w:val="00892900"/>
    <w:rsid w:val="008A09FE"/>
    <w:rsid w:val="008A4BD4"/>
    <w:rsid w:val="008A4DFA"/>
    <w:rsid w:val="008A617C"/>
    <w:rsid w:val="008A684B"/>
    <w:rsid w:val="008B55F8"/>
    <w:rsid w:val="008B5802"/>
    <w:rsid w:val="008B7C3C"/>
    <w:rsid w:val="008C11D9"/>
    <w:rsid w:val="008C4911"/>
    <w:rsid w:val="008C65FE"/>
    <w:rsid w:val="008C76A0"/>
    <w:rsid w:val="008D0469"/>
    <w:rsid w:val="008D04E2"/>
    <w:rsid w:val="008D1535"/>
    <w:rsid w:val="008D24A6"/>
    <w:rsid w:val="008D4234"/>
    <w:rsid w:val="008F02CB"/>
    <w:rsid w:val="008F2847"/>
    <w:rsid w:val="008F28FC"/>
    <w:rsid w:val="008F2CFA"/>
    <w:rsid w:val="008F36AC"/>
    <w:rsid w:val="008F6C9A"/>
    <w:rsid w:val="009005F2"/>
    <w:rsid w:val="00904FE8"/>
    <w:rsid w:val="00907EBC"/>
    <w:rsid w:val="00930806"/>
    <w:rsid w:val="009315E5"/>
    <w:rsid w:val="00932684"/>
    <w:rsid w:val="0094004B"/>
    <w:rsid w:val="00940EFA"/>
    <w:rsid w:val="009467F8"/>
    <w:rsid w:val="0094687F"/>
    <w:rsid w:val="009540DE"/>
    <w:rsid w:val="00962045"/>
    <w:rsid w:val="00965FBF"/>
    <w:rsid w:val="00974158"/>
    <w:rsid w:val="00976EE7"/>
    <w:rsid w:val="00982E1E"/>
    <w:rsid w:val="009950A9"/>
    <w:rsid w:val="0099744D"/>
    <w:rsid w:val="009A16AE"/>
    <w:rsid w:val="009A54FA"/>
    <w:rsid w:val="009A7A37"/>
    <w:rsid w:val="009A7A53"/>
    <w:rsid w:val="009B16BE"/>
    <w:rsid w:val="009C2ABA"/>
    <w:rsid w:val="009C6900"/>
    <w:rsid w:val="009D163B"/>
    <w:rsid w:val="009E28F1"/>
    <w:rsid w:val="009E2F84"/>
    <w:rsid w:val="009E59A8"/>
    <w:rsid w:val="009F33FF"/>
    <w:rsid w:val="00A018AB"/>
    <w:rsid w:val="00A04EE3"/>
    <w:rsid w:val="00A07ACE"/>
    <w:rsid w:val="00A1251F"/>
    <w:rsid w:val="00A13B05"/>
    <w:rsid w:val="00A210C1"/>
    <w:rsid w:val="00A215FC"/>
    <w:rsid w:val="00A21604"/>
    <w:rsid w:val="00A22AF5"/>
    <w:rsid w:val="00A236BF"/>
    <w:rsid w:val="00A2545B"/>
    <w:rsid w:val="00A27A9D"/>
    <w:rsid w:val="00A34B08"/>
    <w:rsid w:val="00A46346"/>
    <w:rsid w:val="00A50059"/>
    <w:rsid w:val="00A503DB"/>
    <w:rsid w:val="00A51062"/>
    <w:rsid w:val="00A52A55"/>
    <w:rsid w:val="00A56A59"/>
    <w:rsid w:val="00A60C81"/>
    <w:rsid w:val="00A6362E"/>
    <w:rsid w:val="00A63AF8"/>
    <w:rsid w:val="00A651CC"/>
    <w:rsid w:val="00A758AA"/>
    <w:rsid w:val="00A75CE7"/>
    <w:rsid w:val="00A76EF2"/>
    <w:rsid w:val="00A80654"/>
    <w:rsid w:val="00A91D23"/>
    <w:rsid w:val="00A92074"/>
    <w:rsid w:val="00A92566"/>
    <w:rsid w:val="00A97CF8"/>
    <w:rsid w:val="00AA1B1A"/>
    <w:rsid w:val="00AA3245"/>
    <w:rsid w:val="00AA35EB"/>
    <w:rsid w:val="00AA6365"/>
    <w:rsid w:val="00AB03A7"/>
    <w:rsid w:val="00AC0556"/>
    <w:rsid w:val="00AC38D4"/>
    <w:rsid w:val="00AC6512"/>
    <w:rsid w:val="00AD2FBB"/>
    <w:rsid w:val="00AD4A48"/>
    <w:rsid w:val="00AE095A"/>
    <w:rsid w:val="00AE1F10"/>
    <w:rsid w:val="00AE3F0E"/>
    <w:rsid w:val="00AE569D"/>
    <w:rsid w:val="00AF3161"/>
    <w:rsid w:val="00AF7C4B"/>
    <w:rsid w:val="00B00E9F"/>
    <w:rsid w:val="00B04125"/>
    <w:rsid w:val="00B043CE"/>
    <w:rsid w:val="00B046B3"/>
    <w:rsid w:val="00B07766"/>
    <w:rsid w:val="00B07827"/>
    <w:rsid w:val="00B16262"/>
    <w:rsid w:val="00B17B47"/>
    <w:rsid w:val="00B20647"/>
    <w:rsid w:val="00B44B25"/>
    <w:rsid w:val="00B47390"/>
    <w:rsid w:val="00B51B0C"/>
    <w:rsid w:val="00B53AA4"/>
    <w:rsid w:val="00B548B8"/>
    <w:rsid w:val="00B575E6"/>
    <w:rsid w:val="00B6342F"/>
    <w:rsid w:val="00B64B3D"/>
    <w:rsid w:val="00B7497E"/>
    <w:rsid w:val="00B750FD"/>
    <w:rsid w:val="00B765E4"/>
    <w:rsid w:val="00B80BC3"/>
    <w:rsid w:val="00B82471"/>
    <w:rsid w:val="00B9527F"/>
    <w:rsid w:val="00B953A6"/>
    <w:rsid w:val="00B956AB"/>
    <w:rsid w:val="00B97C8A"/>
    <w:rsid w:val="00BA242C"/>
    <w:rsid w:val="00BB2486"/>
    <w:rsid w:val="00BB72EF"/>
    <w:rsid w:val="00BC2C17"/>
    <w:rsid w:val="00BD3399"/>
    <w:rsid w:val="00BD4BB0"/>
    <w:rsid w:val="00BE2744"/>
    <w:rsid w:val="00BE322A"/>
    <w:rsid w:val="00BF0FB4"/>
    <w:rsid w:val="00BF1DCA"/>
    <w:rsid w:val="00BF252D"/>
    <w:rsid w:val="00BF7817"/>
    <w:rsid w:val="00BF7F9F"/>
    <w:rsid w:val="00C004E0"/>
    <w:rsid w:val="00C01DF3"/>
    <w:rsid w:val="00C01F8E"/>
    <w:rsid w:val="00C0733F"/>
    <w:rsid w:val="00C24119"/>
    <w:rsid w:val="00C2502E"/>
    <w:rsid w:val="00C25B4C"/>
    <w:rsid w:val="00C30AEB"/>
    <w:rsid w:val="00C32796"/>
    <w:rsid w:val="00C343BC"/>
    <w:rsid w:val="00C3715A"/>
    <w:rsid w:val="00C42FDE"/>
    <w:rsid w:val="00C43CB9"/>
    <w:rsid w:val="00C44575"/>
    <w:rsid w:val="00C4741C"/>
    <w:rsid w:val="00C50C33"/>
    <w:rsid w:val="00C53061"/>
    <w:rsid w:val="00C55D7E"/>
    <w:rsid w:val="00C55FC4"/>
    <w:rsid w:val="00C65664"/>
    <w:rsid w:val="00C65D8F"/>
    <w:rsid w:val="00C67CF3"/>
    <w:rsid w:val="00C70B58"/>
    <w:rsid w:val="00C72622"/>
    <w:rsid w:val="00C7297D"/>
    <w:rsid w:val="00C73AB7"/>
    <w:rsid w:val="00C75803"/>
    <w:rsid w:val="00C8066B"/>
    <w:rsid w:val="00C80E67"/>
    <w:rsid w:val="00C812B6"/>
    <w:rsid w:val="00C821A0"/>
    <w:rsid w:val="00C83E7F"/>
    <w:rsid w:val="00CA2B08"/>
    <w:rsid w:val="00CA3ED8"/>
    <w:rsid w:val="00CA4A21"/>
    <w:rsid w:val="00CB0784"/>
    <w:rsid w:val="00CB1875"/>
    <w:rsid w:val="00CB3025"/>
    <w:rsid w:val="00CB3B97"/>
    <w:rsid w:val="00CB5F8E"/>
    <w:rsid w:val="00CB62E6"/>
    <w:rsid w:val="00CC32EB"/>
    <w:rsid w:val="00CC4579"/>
    <w:rsid w:val="00CC4FEA"/>
    <w:rsid w:val="00CC5454"/>
    <w:rsid w:val="00CC5B26"/>
    <w:rsid w:val="00CC6BC4"/>
    <w:rsid w:val="00CD4ED3"/>
    <w:rsid w:val="00CE4712"/>
    <w:rsid w:val="00CF4B8B"/>
    <w:rsid w:val="00D000D3"/>
    <w:rsid w:val="00D0446C"/>
    <w:rsid w:val="00D064F8"/>
    <w:rsid w:val="00D11C34"/>
    <w:rsid w:val="00D14450"/>
    <w:rsid w:val="00D14807"/>
    <w:rsid w:val="00D20754"/>
    <w:rsid w:val="00D211B5"/>
    <w:rsid w:val="00D222F7"/>
    <w:rsid w:val="00D2468A"/>
    <w:rsid w:val="00D27936"/>
    <w:rsid w:val="00D32760"/>
    <w:rsid w:val="00D3381F"/>
    <w:rsid w:val="00D358AD"/>
    <w:rsid w:val="00D36B3B"/>
    <w:rsid w:val="00D42F27"/>
    <w:rsid w:val="00D430D5"/>
    <w:rsid w:val="00D4507A"/>
    <w:rsid w:val="00D46B5D"/>
    <w:rsid w:val="00D477C4"/>
    <w:rsid w:val="00D5237A"/>
    <w:rsid w:val="00D53CB5"/>
    <w:rsid w:val="00D569A4"/>
    <w:rsid w:val="00D57F67"/>
    <w:rsid w:val="00D57FCC"/>
    <w:rsid w:val="00D644C8"/>
    <w:rsid w:val="00D66F08"/>
    <w:rsid w:val="00D7269E"/>
    <w:rsid w:val="00D72F91"/>
    <w:rsid w:val="00D75E58"/>
    <w:rsid w:val="00D7613C"/>
    <w:rsid w:val="00D76288"/>
    <w:rsid w:val="00D77197"/>
    <w:rsid w:val="00D81342"/>
    <w:rsid w:val="00D8578A"/>
    <w:rsid w:val="00D95300"/>
    <w:rsid w:val="00D96AA2"/>
    <w:rsid w:val="00D96EB0"/>
    <w:rsid w:val="00DA02DC"/>
    <w:rsid w:val="00DA3FF1"/>
    <w:rsid w:val="00DB2089"/>
    <w:rsid w:val="00DB2DBD"/>
    <w:rsid w:val="00DB5796"/>
    <w:rsid w:val="00DC212C"/>
    <w:rsid w:val="00DC5B79"/>
    <w:rsid w:val="00DC6CC6"/>
    <w:rsid w:val="00DD4651"/>
    <w:rsid w:val="00DD6D93"/>
    <w:rsid w:val="00DD78F3"/>
    <w:rsid w:val="00DE5B2B"/>
    <w:rsid w:val="00DF0373"/>
    <w:rsid w:val="00DF6483"/>
    <w:rsid w:val="00E012EF"/>
    <w:rsid w:val="00E02F03"/>
    <w:rsid w:val="00E05667"/>
    <w:rsid w:val="00E11BDB"/>
    <w:rsid w:val="00E127D0"/>
    <w:rsid w:val="00E14671"/>
    <w:rsid w:val="00E15436"/>
    <w:rsid w:val="00E25131"/>
    <w:rsid w:val="00E3397F"/>
    <w:rsid w:val="00E34220"/>
    <w:rsid w:val="00E417A1"/>
    <w:rsid w:val="00E42558"/>
    <w:rsid w:val="00E45D6F"/>
    <w:rsid w:val="00E47D80"/>
    <w:rsid w:val="00E50304"/>
    <w:rsid w:val="00E513EE"/>
    <w:rsid w:val="00E63749"/>
    <w:rsid w:val="00E64B5A"/>
    <w:rsid w:val="00E70758"/>
    <w:rsid w:val="00E716FE"/>
    <w:rsid w:val="00E75009"/>
    <w:rsid w:val="00E85998"/>
    <w:rsid w:val="00E87CDA"/>
    <w:rsid w:val="00E94E57"/>
    <w:rsid w:val="00E97D32"/>
    <w:rsid w:val="00EB368B"/>
    <w:rsid w:val="00EB43B8"/>
    <w:rsid w:val="00EB556A"/>
    <w:rsid w:val="00EB6BAE"/>
    <w:rsid w:val="00EC7619"/>
    <w:rsid w:val="00ED1626"/>
    <w:rsid w:val="00ED66B4"/>
    <w:rsid w:val="00EE39D2"/>
    <w:rsid w:val="00EE5053"/>
    <w:rsid w:val="00EE58D5"/>
    <w:rsid w:val="00EF0C52"/>
    <w:rsid w:val="00EF2393"/>
    <w:rsid w:val="00EF739C"/>
    <w:rsid w:val="00EF7C4D"/>
    <w:rsid w:val="00EF7CB5"/>
    <w:rsid w:val="00F01042"/>
    <w:rsid w:val="00F03B74"/>
    <w:rsid w:val="00F1225C"/>
    <w:rsid w:val="00F1270F"/>
    <w:rsid w:val="00F13930"/>
    <w:rsid w:val="00F171E9"/>
    <w:rsid w:val="00F24C43"/>
    <w:rsid w:val="00F250B5"/>
    <w:rsid w:val="00F267A2"/>
    <w:rsid w:val="00F26BCB"/>
    <w:rsid w:val="00F34173"/>
    <w:rsid w:val="00F35833"/>
    <w:rsid w:val="00F41E0B"/>
    <w:rsid w:val="00F44BD7"/>
    <w:rsid w:val="00F453E3"/>
    <w:rsid w:val="00F558FC"/>
    <w:rsid w:val="00F56B2B"/>
    <w:rsid w:val="00F65285"/>
    <w:rsid w:val="00F663B7"/>
    <w:rsid w:val="00F6662B"/>
    <w:rsid w:val="00F72016"/>
    <w:rsid w:val="00F85863"/>
    <w:rsid w:val="00F92D78"/>
    <w:rsid w:val="00FA7387"/>
    <w:rsid w:val="00FB3954"/>
    <w:rsid w:val="00FD302C"/>
    <w:rsid w:val="00FD3495"/>
    <w:rsid w:val="00FD73DA"/>
    <w:rsid w:val="00FD7BC3"/>
    <w:rsid w:val="00FE1BF6"/>
    <w:rsid w:val="00FE2FAE"/>
    <w:rsid w:val="00FE53D5"/>
    <w:rsid w:val="00FE63F9"/>
    <w:rsid w:val="00FE6FB0"/>
    <w:rsid w:val="00FF0475"/>
    <w:rsid w:val="00FF1821"/>
    <w:rsid w:val="00FF1B74"/>
    <w:rsid w:val="00FF4547"/>
    <w:rsid w:val="00FF48CB"/>
    <w:rsid w:val="00FF6969"/>
    <w:rsid w:val="00FF7D41"/>
    <w:rsid w:val="014F03EF"/>
    <w:rsid w:val="01F84CCA"/>
    <w:rsid w:val="0241255C"/>
    <w:rsid w:val="02D23086"/>
    <w:rsid w:val="030A0A72"/>
    <w:rsid w:val="03D93F3E"/>
    <w:rsid w:val="048B7990"/>
    <w:rsid w:val="05C70041"/>
    <w:rsid w:val="06514C09"/>
    <w:rsid w:val="067931E2"/>
    <w:rsid w:val="07AC659B"/>
    <w:rsid w:val="08126136"/>
    <w:rsid w:val="08153E48"/>
    <w:rsid w:val="0826182D"/>
    <w:rsid w:val="083F27C3"/>
    <w:rsid w:val="09CA5EA0"/>
    <w:rsid w:val="0A037FC9"/>
    <w:rsid w:val="0A992874"/>
    <w:rsid w:val="0ACB0F66"/>
    <w:rsid w:val="0AEE2A27"/>
    <w:rsid w:val="0B5D6577"/>
    <w:rsid w:val="0C5E3BDC"/>
    <w:rsid w:val="0C764C5A"/>
    <w:rsid w:val="0CA25F86"/>
    <w:rsid w:val="0D627C85"/>
    <w:rsid w:val="0DB94132"/>
    <w:rsid w:val="0E5E2DBA"/>
    <w:rsid w:val="0E75533E"/>
    <w:rsid w:val="0E76520D"/>
    <w:rsid w:val="0EEF3211"/>
    <w:rsid w:val="0F1F4318"/>
    <w:rsid w:val="0F347B80"/>
    <w:rsid w:val="10887D92"/>
    <w:rsid w:val="10893355"/>
    <w:rsid w:val="11416060"/>
    <w:rsid w:val="11417B45"/>
    <w:rsid w:val="12A83E03"/>
    <w:rsid w:val="13771000"/>
    <w:rsid w:val="140C2170"/>
    <w:rsid w:val="153C4D3D"/>
    <w:rsid w:val="154E4115"/>
    <w:rsid w:val="164248D0"/>
    <w:rsid w:val="16BD1D25"/>
    <w:rsid w:val="171337E0"/>
    <w:rsid w:val="177D22FB"/>
    <w:rsid w:val="17D80CE7"/>
    <w:rsid w:val="17F16EAF"/>
    <w:rsid w:val="182D5F3D"/>
    <w:rsid w:val="18C066C1"/>
    <w:rsid w:val="190548EB"/>
    <w:rsid w:val="19102702"/>
    <w:rsid w:val="195E5228"/>
    <w:rsid w:val="196654F1"/>
    <w:rsid w:val="19856C4C"/>
    <w:rsid w:val="19AB2AD9"/>
    <w:rsid w:val="1A425F6E"/>
    <w:rsid w:val="1A480C2D"/>
    <w:rsid w:val="1A543ACE"/>
    <w:rsid w:val="1AF271EC"/>
    <w:rsid w:val="1B20658C"/>
    <w:rsid w:val="1C1725BC"/>
    <w:rsid w:val="1CD27612"/>
    <w:rsid w:val="1E3A34F1"/>
    <w:rsid w:val="1E3F724C"/>
    <w:rsid w:val="1E4E6744"/>
    <w:rsid w:val="1FE52A81"/>
    <w:rsid w:val="23607DE2"/>
    <w:rsid w:val="239820B3"/>
    <w:rsid w:val="24462058"/>
    <w:rsid w:val="24995D2F"/>
    <w:rsid w:val="24B7656C"/>
    <w:rsid w:val="24EC60B5"/>
    <w:rsid w:val="25352E69"/>
    <w:rsid w:val="255A71DF"/>
    <w:rsid w:val="25C36F00"/>
    <w:rsid w:val="260649A3"/>
    <w:rsid w:val="27D05536"/>
    <w:rsid w:val="281318C7"/>
    <w:rsid w:val="28E15521"/>
    <w:rsid w:val="28FF7D52"/>
    <w:rsid w:val="29762A1C"/>
    <w:rsid w:val="29F319B0"/>
    <w:rsid w:val="2A38744A"/>
    <w:rsid w:val="2AEF0112"/>
    <w:rsid w:val="2B3116E7"/>
    <w:rsid w:val="2B7463EB"/>
    <w:rsid w:val="2B8F12F1"/>
    <w:rsid w:val="2BAF1907"/>
    <w:rsid w:val="2C0F5312"/>
    <w:rsid w:val="2C26606D"/>
    <w:rsid w:val="2C2778B3"/>
    <w:rsid w:val="2CB15012"/>
    <w:rsid w:val="2D632A39"/>
    <w:rsid w:val="2D804ED2"/>
    <w:rsid w:val="2DB80F46"/>
    <w:rsid w:val="2DFB3293"/>
    <w:rsid w:val="2E4251AC"/>
    <w:rsid w:val="2E840E29"/>
    <w:rsid w:val="2E9279E9"/>
    <w:rsid w:val="2ECE2C44"/>
    <w:rsid w:val="301E705B"/>
    <w:rsid w:val="3040652C"/>
    <w:rsid w:val="30564C17"/>
    <w:rsid w:val="30D84C78"/>
    <w:rsid w:val="30E016AE"/>
    <w:rsid w:val="316D029A"/>
    <w:rsid w:val="319E48F7"/>
    <w:rsid w:val="31CB4544"/>
    <w:rsid w:val="31DD6DFF"/>
    <w:rsid w:val="31FB58A6"/>
    <w:rsid w:val="33346CC9"/>
    <w:rsid w:val="336675FE"/>
    <w:rsid w:val="34AE30A3"/>
    <w:rsid w:val="35101668"/>
    <w:rsid w:val="357524F9"/>
    <w:rsid w:val="35FE6F21"/>
    <w:rsid w:val="36156CDA"/>
    <w:rsid w:val="36E36898"/>
    <w:rsid w:val="37EB3B4C"/>
    <w:rsid w:val="380F2DDF"/>
    <w:rsid w:val="38586698"/>
    <w:rsid w:val="38B46F52"/>
    <w:rsid w:val="38DE3290"/>
    <w:rsid w:val="39513ED4"/>
    <w:rsid w:val="3962028B"/>
    <w:rsid w:val="39797D4A"/>
    <w:rsid w:val="39994C57"/>
    <w:rsid w:val="39F257E0"/>
    <w:rsid w:val="3A1525B3"/>
    <w:rsid w:val="3A3E04B9"/>
    <w:rsid w:val="3AA50AA5"/>
    <w:rsid w:val="3B734DF1"/>
    <w:rsid w:val="3B7B1C49"/>
    <w:rsid w:val="3C015264"/>
    <w:rsid w:val="3C6379EE"/>
    <w:rsid w:val="3C68576E"/>
    <w:rsid w:val="3C9868B3"/>
    <w:rsid w:val="3C9F32D2"/>
    <w:rsid w:val="3DA908EF"/>
    <w:rsid w:val="3DE10046"/>
    <w:rsid w:val="3E4749EC"/>
    <w:rsid w:val="3F331109"/>
    <w:rsid w:val="40BF6C6C"/>
    <w:rsid w:val="41372F17"/>
    <w:rsid w:val="42672AE3"/>
    <w:rsid w:val="430E1705"/>
    <w:rsid w:val="43135034"/>
    <w:rsid w:val="435025AB"/>
    <w:rsid w:val="43A06B6B"/>
    <w:rsid w:val="43A318F9"/>
    <w:rsid w:val="43D1505F"/>
    <w:rsid w:val="4588524B"/>
    <w:rsid w:val="458D0AB3"/>
    <w:rsid w:val="45E2663B"/>
    <w:rsid w:val="46184820"/>
    <w:rsid w:val="46205483"/>
    <w:rsid w:val="46862B6D"/>
    <w:rsid w:val="46B5206F"/>
    <w:rsid w:val="46E0788A"/>
    <w:rsid w:val="4712301E"/>
    <w:rsid w:val="47402399"/>
    <w:rsid w:val="47420BCE"/>
    <w:rsid w:val="475C276F"/>
    <w:rsid w:val="47755934"/>
    <w:rsid w:val="479B06D1"/>
    <w:rsid w:val="47A66166"/>
    <w:rsid w:val="47BE0953"/>
    <w:rsid w:val="48223734"/>
    <w:rsid w:val="483B47F6"/>
    <w:rsid w:val="48B90977"/>
    <w:rsid w:val="48CB55FA"/>
    <w:rsid w:val="48CE25D7"/>
    <w:rsid w:val="49EF6290"/>
    <w:rsid w:val="4B0B519D"/>
    <w:rsid w:val="4BB4131F"/>
    <w:rsid w:val="4C1B174F"/>
    <w:rsid w:val="4C2E0EE6"/>
    <w:rsid w:val="4C625D50"/>
    <w:rsid w:val="4C6562E6"/>
    <w:rsid w:val="4D64659D"/>
    <w:rsid w:val="4DA7062D"/>
    <w:rsid w:val="4DB64F6F"/>
    <w:rsid w:val="4DC50079"/>
    <w:rsid w:val="4E4051B2"/>
    <w:rsid w:val="4F281CC0"/>
    <w:rsid w:val="4FB34D2F"/>
    <w:rsid w:val="50146059"/>
    <w:rsid w:val="50895F2A"/>
    <w:rsid w:val="50A83FF0"/>
    <w:rsid w:val="50CF3D2E"/>
    <w:rsid w:val="50F15431"/>
    <w:rsid w:val="519531C9"/>
    <w:rsid w:val="51FE20FB"/>
    <w:rsid w:val="523E57E5"/>
    <w:rsid w:val="531C7658"/>
    <w:rsid w:val="544F6C05"/>
    <w:rsid w:val="549F7B0E"/>
    <w:rsid w:val="5511700B"/>
    <w:rsid w:val="55945546"/>
    <w:rsid w:val="56033763"/>
    <w:rsid w:val="56C30635"/>
    <w:rsid w:val="56C66BBF"/>
    <w:rsid w:val="572B230B"/>
    <w:rsid w:val="57374904"/>
    <w:rsid w:val="57555B73"/>
    <w:rsid w:val="57FB18AC"/>
    <w:rsid w:val="5822508B"/>
    <w:rsid w:val="5830409E"/>
    <w:rsid w:val="586C704D"/>
    <w:rsid w:val="5892543E"/>
    <w:rsid w:val="594302DE"/>
    <w:rsid w:val="5A275F63"/>
    <w:rsid w:val="5A3B76E9"/>
    <w:rsid w:val="5A4A5FB2"/>
    <w:rsid w:val="5A884CFF"/>
    <w:rsid w:val="5B185B65"/>
    <w:rsid w:val="5B3E21DC"/>
    <w:rsid w:val="5BA662AC"/>
    <w:rsid w:val="5C2018E1"/>
    <w:rsid w:val="5C4A2E02"/>
    <w:rsid w:val="5CBD6CED"/>
    <w:rsid w:val="5D2339D2"/>
    <w:rsid w:val="5D5A52C7"/>
    <w:rsid w:val="5D5B7BE1"/>
    <w:rsid w:val="5D774498"/>
    <w:rsid w:val="5ECE328C"/>
    <w:rsid w:val="5F453E15"/>
    <w:rsid w:val="5FE27EB9"/>
    <w:rsid w:val="601916CB"/>
    <w:rsid w:val="606A3A73"/>
    <w:rsid w:val="6091059D"/>
    <w:rsid w:val="60D407C7"/>
    <w:rsid w:val="619961B5"/>
    <w:rsid w:val="62CC2532"/>
    <w:rsid w:val="637846F9"/>
    <w:rsid w:val="63AD1596"/>
    <w:rsid w:val="643022C1"/>
    <w:rsid w:val="64334B2B"/>
    <w:rsid w:val="64E9140A"/>
    <w:rsid w:val="64EE2C1D"/>
    <w:rsid w:val="650D4BAC"/>
    <w:rsid w:val="6532443B"/>
    <w:rsid w:val="65B8574F"/>
    <w:rsid w:val="67E660D5"/>
    <w:rsid w:val="68694610"/>
    <w:rsid w:val="69492FD0"/>
    <w:rsid w:val="694B431B"/>
    <w:rsid w:val="69BA15C7"/>
    <w:rsid w:val="69C9674A"/>
    <w:rsid w:val="69CB6B96"/>
    <w:rsid w:val="69E927AD"/>
    <w:rsid w:val="6A853B45"/>
    <w:rsid w:val="6AD506B9"/>
    <w:rsid w:val="6AEE25BA"/>
    <w:rsid w:val="6B7C6660"/>
    <w:rsid w:val="6B7D0AFE"/>
    <w:rsid w:val="6C15502B"/>
    <w:rsid w:val="6CF576A2"/>
    <w:rsid w:val="6D8141AA"/>
    <w:rsid w:val="6EA626B3"/>
    <w:rsid w:val="6F7F57D3"/>
    <w:rsid w:val="700F10EA"/>
    <w:rsid w:val="70887135"/>
    <w:rsid w:val="70912956"/>
    <w:rsid w:val="71A50310"/>
    <w:rsid w:val="72B76864"/>
    <w:rsid w:val="73306456"/>
    <w:rsid w:val="73334198"/>
    <w:rsid w:val="746513D5"/>
    <w:rsid w:val="74DA3103"/>
    <w:rsid w:val="750A3856"/>
    <w:rsid w:val="75953045"/>
    <w:rsid w:val="761A519B"/>
    <w:rsid w:val="76301A9E"/>
    <w:rsid w:val="76527744"/>
    <w:rsid w:val="76B8261F"/>
    <w:rsid w:val="76D0242A"/>
    <w:rsid w:val="76E013E7"/>
    <w:rsid w:val="76E63EDE"/>
    <w:rsid w:val="785E3A65"/>
    <w:rsid w:val="78F9553C"/>
    <w:rsid w:val="7A4078C7"/>
    <w:rsid w:val="7A4C3D84"/>
    <w:rsid w:val="7A4D235B"/>
    <w:rsid w:val="7B75534E"/>
    <w:rsid w:val="7C202A1A"/>
    <w:rsid w:val="7C93311E"/>
    <w:rsid w:val="7C9A350D"/>
    <w:rsid w:val="7CFD79D2"/>
    <w:rsid w:val="7D4F50C4"/>
    <w:rsid w:val="7DCB56F9"/>
    <w:rsid w:val="7E497A3C"/>
    <w:rsid w:val="7E582255"/>
    <w:rsid w:val="7E7753E9"/>
    <w:rsid w:val="7ED24ED8"/>
    <w:rsid w:val="7EE134F6"/>
    <w:rsid w:val="7F634B2F"/>
    <w:rsid w:val="7FD1230A"/>
    <w:rsid w:val="7FF038E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33"/>
    <w:qFormat/>
    <w:uiPriority w:val="9"/>
    <w:pPr>
      <w:keepNext/>
      <w:keepLines/>
      <w:spacing w:before="340" w:after="330" w:line="578" w:lineRule="auto"/>
      <w:outlineLvl w:val="0"/>
    </w:pPr>
    <w:rPr>
      <w:b/>
      <w:bCs/>
      <w:kern w:val="44"/>
      <w:sz w:val="44"/>
      <w:szCs w:val="44"/>
    </w:rPr>
  </w:style>
  <w:style w:type="paragraph" w:styleId="4">
    <w:name w:val="heading 2"/>
    <w:basedOn w:val="1"/>
    <w:next w:val="1"/>
    <w:unhideWhenUsed/>
    <w:qFormat/>
    <w:uiPriority w:val="9"/>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3"/>
    <w:basedOn w:val="1"/>
    <w:next w:val="1"/>
    <w:link w:val="35"/>
    <w:semiHidden/>
    <w:unhideWhenUsed/>
    <w:qFormat/>
    <w:uiPriority w:val="9"/>
    <w:pPr>
      <w:keepNext/>
      <w:keepLines/>
      <w:spacing w:before="260" w:after="260" w:line="416" w:lineRule="auto"/>
      <w:outlineLvl w:val="2"/>
    </w:pPr>
    <w:rPr>
      <w:b/>
      <w:bCs/>
      <w:sz w:val="32"/>
      <w:szCs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rFonts w:eastAsia="仿宋_GB2312"/>
      <w:sz w:val="32"/>
      <w:szCs w:val="32"/>
    </w:rPr>
  </w:style>
  <w:style w:type="paragraph" w:styleId="6">
    <w:name w:val="annotation text"/>
    <w:basedOn w:val="1"/>
    <w:link w:val="36"/>
    <w:semiHidden/>
    <w:unhideWhenUsed/>
    <w:qFormat/>
    <w:uiPriority w:val="99"/>
    <w:pPr>
      <w:jc w:val="left"/>
    </w:pPr>
  </w:style>
  <w:style w:type="paragraph" w:styleId="7">
    <w:name w:val="Balloon Text"/>
    <w:basedOn w:val="1"/>
    <w:link w:val="19"/>
    <w:semiHidden/>
    <w:unhideWhenUsed/>
    <w:qFormat/>
    <w:uiPriority w:val="99"/>
    <w:rPr>
      <w:sz w:val="18"/>
      <w:szCs w:val="18"/>
    </w:rPr>
  </w:style>
  <w:style w:type="paragraph" w:styleId="8">
    <w:name w:val="footer"/>
    <w:basedOn w:val="1"/>
    <w:link w:val="21"/>
    <w:unhideWhenUsed/>
    <w:qFormat/>
    <w:uiPriority w:val="99"/>
    <w:pPr>
      <w:tabs>
        <w:tab w:val="center" w:pos="4153"/>
        <w:tab w:val="right" w:pos="8306"/>
      </w:tabs>
      <w:snapToGrid w:val="0"/>
      <w:jc w:val="left"/>
    </w:pPr>
    <w:rPr>
      <w:sz w:val="18"/>
      <w:szCs w:val="18"/>
    </w:rPr>
  </w:style>
  <w:style w:type="paragraph" w:styleId="9">
    <w:name w:val="header"/>
    <w:basedOn w:val="1"/>
    <w:link w:val="20"/>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unhideWhenUsed/>
    <w:qFormat/>
    <w:uiPriority w:val="39"/>
    <w:pPr>
      <w:tabs>
        <w:tab w:val="right" w:leader="dot" w:pos="8296"/>
      </w:tabs>
      <w:spacing w:line="800" w:lineRule="exact"/>
    </w:pPr>
  </w:style>
  <w:style w:type="paragraph" w:styleId="11">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12">
    <w:name w:val="Title"/>
    <w:basedOn w:val="1"/>
    <w:next w:val="1"/>
    <w:qFormat/>
    <w:uiPriority w:val="0"/>
    <w:pPr>
      <w:spacing w:before="240" w:after="60"/>
      <w:jc w:val="center"/>
      <w:outlineLvl w:val="0"/>
    </w:pPr>
    <w:rPr>
      <w:rFonts w:ascii="Arial" w:hAnsi="Arial"/>
      <w:b/>
      <w:sz w:val="32"/>
    </w:rPr>
  </w:style>
  <w:style w:type="paragraph" w:styleId="13">
    <w:name w:val="annotation subject"/>
    <w:basedOn w:val="6"/>
    <w:next w:val="6"/>
    <w:link w:val="37"/>
    <w:semiHidden/>
    <w:unhideWhenUsed/>
    <w:qFormat/>
    <w:uiPriority w:val="99"/>
    <w:rPr>
      <w:b/>
      <w:bCs/>
    </w:rPr>
  </w:style>
  <w:style w:type="table" w:styleId="15">
    <w:name w:val="Table Grid"/>
    <w:basedOn w:val="1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character" w:styleId="18">
    <w:name w:val="annotation reference"/>
    <w:basedOn w:val="16"/>
    <w:semiHidden/>
    <w:unhideWhenUsed/>
    <w:qFormat/>
    <w:uiPriority w:val="99"/>
    <w:rPr>
      <w:sz w:val="21"/>
      <w:szCs w:val="21"/>
    </w:rPr>
  </w:style>
  <w:style w:type="character" w:customStyle="1" w:styleId="19">
    <w:name w:val="批注框文本 字符"/>
    <w:basedOn w:val="16"/>
    <w:link w:val="7"/>
    <w:semiHidden/>
    <w:qFormat/>
    <w:uiPriority w:val="99"/>
    <w:rPr>
      <w:sz w:val="18"/>
      <w:szCs w:val="18"/>
    </w:rPr>
  </w:style>
  <w:style w:type="character" w:customStyle="1" w:styleId="20">
    <w:name w:val="页眉 字符"/>
    <w:basedOn w:val="16"/>
    <w:link w:val="9"/>
    <w:qFormat/>
    <w:uiPriority w:val="99"/>
    <w:rPr>
      <w:sz w:val="18"/>
      <w:szCs w:val="18"/>
    </w:rPr>
  </w:style>
  <w:style w:type="character" w:customStyle="1" w:styleId="21">
    <w:name w:val="页脚 字符"/>
    <w:basedOn w:val="16"/>
    <w:link w:val="8"/>
    <w:qFormat/>
    <w:uiPriority w:val="99"/>
    <w:rPr>
      <w:sz w:val="18"/>
      <w:szCs w:val="18"/>
    </w:rPr>
  </w:style>
  <w:style w:type="paragraph" w:styleId="22">
    <w:name w:val="List Paragraph"/>
    <w:basedOn w:val="1"/>
    <w:qFormat/>
    <w:uiPriority w:val="34"/>
    <w:pPr>
      <w:ind w:firstLine="420" w:firstLineChars="200"/>
    </w:pPr>
  </w:style>
  <w:style w:type="paragraph" w:customStyle="1" w:styleId="23">
    <w:name w:val="段"/>
    <w:link w:val="24"/>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24">
    <w:name w:val="段 Char"/>
    <w:link w:val="23"/>
    <w:qFormat/>
    <w:uiPriority w:val="0"/>
    <w:rPr>
      <w:rFonts w:ascii="宋体" w:hAnsi="Times New Roman" w:eastAsia="宋体" w:cs="Times New Roman"/>
      <w:kern w:val="0"/>
      <w:szCs w:val="20"/>
    </w:rPr>
  </w:style>
  <w:style w:type="paragraph" w:customStyle="1" w:styleId="25">
    <w:name w:val="一级条标题"/>
    <w:next w:val="23"/>
    <w:link w:val="30"/>
    <w:qFormat/>
    <w:uiPriority w:val="0"/>
    <w:pPr>
      <w:numPr>
        <w:ilvl w:val="1"/>
        <w:numId w:val="1"/>
      </w:numPr>
      <w:spacing w:before="156" w:beforeLines="50" w:after="156" w:afterLines="50"/>
      <w:outlineLvl w:val="2"/>
    </w:pPr>
    <w:rPr>
      <w:rFonts w:ascii="黑体" w:hAnsi="Times New Roman" w:eastAsia="黑体" w:cs="Times New Roman"/>
      <w:sz w:val="21"/>
      <w:szCs w:val="21"/>
      <w:lang w:val="en-US" w:eastAsia="zh-CN" w:bidi="ar-SA"/>
    </w:rPr>
  </w:style>
  <w:style w:type="paragraph" w:customStyle="1" w:styleId="26">
    <w:name w:val="章标题"/>
    <w:next w:val="23"/>
    <w:qFormat/>
    <w:uiPriority w:val="0"/>
    <w:pPr>
      <w:numPr>
        <w:ilvl w:val="0"/>
        <w:numId w:val="1"/>
      </w:numPr>
      <w:spacing w:before="312" w:beforeLines="100" w:after="312" w:afterLines="100"/>
      <w:jc w:val="both"/>
      <w:outlineLvl w:val="1"/>
    </w:pPr>
    <w:rPr>
      <w:rFonts w:ascii="黑体" w:hAnsi="Times New Roman" w:eastAsia="黑体" w:cs="Times New Roman"/>
      <w:sz w:val="21"/>
      <w:lang w:val="en-US" w:eastAsia="zh-CN" w:bidi="ar-SA"/>
    </w:rPr>
  </w:style>
  <w:style w:type="paragraph" w:customStyle="1" w:styleId="27">
    <w:name w:val="二级条标题"/>
    <w:basedOn w:val="25"/>
    <w:next w:val="23"/>
    <w:qFormat/>
    <w:uiPriority w:val="0"/>
    <w:pPr>
      <w:numPr>
        <w:ilvl w:val="2"/>
      </w:numPr>
      <w:tabs>
        <w:tab w:val="left" w:pos="360"/>
      </w:tabs>
      <w:spacing w:before="50" w:after="50"/>
      <w:outlineLvl w:val="3"/>
    </w:pPr>
  </w:style>
  <w:style w:type="paragraph" w:customStyle="1" w:styleId="28">
    <w:name w:val="四级条标题"/>
    <w:basedOn w:val="1"/>
    <w:next w:val="23"/>
    <w:qFormat/>
    <w:uiPriority w:val="0"/>
    <w:pPr>
      <w:widowControl/>
      <w:numPr>
        <w:ilvl w:val="4"/>
        <w:numId w:val="1"/>
      </w:numPr>
      <w:spacing w:before="50" w:beforeLines="50" w:after="50" w:afterLines="50"/>
      <w:jc w:val="left"/>
      <w:outlineLvl w:val="5"/>
    </w:pPr>
    <w:rPr>
      <w:rFonts w:ascii="黑体" w:hAnsi="Times New Roman" w:eastAsia="黑体" w:cs="Times New Roman"/>
      <w:kern w:val="0"/>
      <w:szCs w:val="21"/>
    </w:rPr>
  </w:style>
  <w:style w:type="paragraph" w:customStyle="1" w:styleId="29">
    <w:name w:val="五级条标题"/>
    <w:basedOn w:val="28"/>
    <w:next w:val="23"/>
    <w:qFormat/>
    <w:uiPriority w:val="0"/>
    <w:pPr>
      <w:numPr>
        <w:ilvl w:val="5"/>
      </w:numPr>
      <w:outlineLvl w:val="6"/>
    </w:pPr>
  </w:style>
  <w:style w:type="character" w:customStyle="1" w:styleId="30">
    <w:name w:val="一级条标题 Char"/>
    <w:link w:val="25"/>
    <w:qFormat/>
    <w:locked/>
    <w:uiPriority w:val="0"/>
    <w:rPr>
      <w:rFonts w:ascii="黑体" w:hAnsi="Times New Roman" w:eastAsia="黑体" w:cs="Times New Roman"/>
      <w:kern w:val="0"/>
      <w:szCs w:val="21"/>
    </w:rPr>
  </w:style>
  <w:style w:type="paragraph" w:customStyle="1" w:styleId="31">
    <w:name w:val="正文1"/>
    <w:basedOn w:val="22"/>
    <w:link w:val="32"/>
    <w:qFormat/>
    <w:uiPriority w:val="99"/>
    <w:pPr>
      <w:ind w:firstLine="560"/>
    </w:pPr>
    <w:rPr>
      <w:rFonts w:ascii="仿宋" w:hAnsi="仿宋" w:eastAsia="仿宋" w:cs="Times New Roman"/>
      <w:color w:val="000000"/>
      <w:sz w:val="28"/>
      <w:szCs w:val="28"/>
    </w:rPr>
  </w:style>
  <w:style w:type="character" w:customStyle="1" w:styleId="32">
    <w:name w:val="正文1 字符"/>
    <w:link w:val="31"/>
    <w:qFormat/>
    <w:uiPriority w:val="99"/>
    <w:rPr>
      <w:rFonts w:ascii="仿宋" w:hAnsi="仿宋" w:eastAsia="仿宋" w:cs="Times New Roman"/>
      <w:color w:val="000000"/>
      <w:sz w:val="28"/>
      <w:szCs w:val="28"/>
    </w:rPr>
  </w:style>
  <w:style w:type="character" w:customStyle="1" w:styleId="33">
    <w:name w:val="标题 1 字符"/>
    <w:basedOn w:val="16"/>
    <w:link w:val="3"/>
    <w:qFormat/>
    <w:uiPriority w:val="9"/>
    <w:rPr>
      <w:b/>
      <w:bCs/>
      <w:kern w:val="44"/>
      <w:sz w:val="44"/>
      <w:szCs w:val="44"/>
    </w:rPr>
  </w:style>
  <w:style w:type="paragraph" w:customStyle="1" w:styleId="34">
    <w:name w:val="TOC 标题1"/>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character" w:customStyle="1" w:styleId="35">
    <w:name w:val="标题 3 字符"/>
    <w:basedOn w:val="16"/>
    <w:link w:val="5"/>
    <w:semiHidden/>
    <w:qFormat/>
    <w:uiPriority w:val="9"/>
    <w:rPr>
      <w:b/>
      <w:bCs/>
      <w:sz w:val="32"/>
      <w:szCs w:val="32"/>
    </w:rPr>
  </w:style>
  <w:style w:type="character" w:customStyle="1" w:styleId="36">
    <w:name w:val="批注文字 字符"/>
    <w:basedOn w:val="16"/>
    <w:link w:val="6"/>
    <w:semiHidden/>
    <w:qFormat/>
    <w:uiPriority w:val="99"/>
  </w:style>
  <w:style w:type="character" w:customStyle="1" w:styleId="37">
    <w:name w:val="批注主题 字符"/>
    <w:basedOn w:val="36"/>
    <w:link w:val="13"/>
    <w:semiHidden/>
    <w:qFormat/>
    <w:uiPriority w:val="99"/>
    <w:rPr>
      <w:b/>
      <w:bCs/>
    </w:rPr>
  </w:style>
  <w:style w:type="table" w:customStyle="1" w:styleId="38">
    <w:name w:val="网格型1"/>
    <w:basedOn w:val="39"/>
    <w:qFormat/>
    <w:uiPriority w:val="0"/>
    <w:pPr>
      <w:widowControl w:val="0"/>
      <w:jc w:val="both"/>
    </w:pPr>
  </w:style>
  <w:style w:type="table" w:customStyle="1" w:styleId="39">
    <w:name w:val="普通表格1"/>
    <w:semiHidden/>
    <w:qFormat/>
    <w:uiPriority w:val="0"/>
  </w:style>
  <w:style w:type="paragraph" w:customStyle="1" w:styleId="40">
    <w:name w:val="正文文本1"/>
    <w:basedOn w:val="1"/>
    <w:qFormat/>
    <w:uiPriority w:val="0"/>
    <w:pPr>
      <w:shd w:val="clear" w:color="auto" w:fill="FFFFFF"/>
      <w:spacing w:after="240"/>
    </w:pPr>
    <w:rPr>
      <w:rFonts w:ascii="MingLiU" w:hAnsi="MingLiU" w:eastAsia="MingLiU" w:cs="MingLiU"/>
      <w:sz w:val="32"/>
      <w:szCs w:val="32"/>
      <w:lang w:val="zh-CN" w:eastAsia="zh-CN" w:bidi="zh-CN"/>
    </w:rPr>
  </w:style>
  <w:style w:type="paragraph" w:customStyle="1" w:styleId="41">
    <w:name w:val="样式 正文 + 首行缩进:  2 字符"/>
    <w:basedOn w:val="1"/>
    <w:qFormat/>
    <w:uiPriority w:val="0"/>
  </w:style>
  <w:style w:type="paragraph" w:customStyle="1" w:styleId="42">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43">
    <w:name w:val="Table Paragraph"/>
    <w:basedOn w:val="1"/>
    <w:qFormat/>
    <w:uiPriority w:val="1"/>
    <w:rPr>
      <w:rFonts w:ascii="仿宋_GB2312" w:hAnsi="仿宋_GB2312" w:eastAsia="仿宋_GB2312" w:cs="仿宋_GB2312"/>
      <w:lang w:val="zh-CN" w:bidi="zh-CN"/>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microsoft.com/office/2006/relationships/keyMapCustomizations" Target="customizations.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23BE5BF-B5AD-473A-887D-48DA4447A6CA}">
  <ds:schemaRefs/>
</ds:datastoreItem>
</file>

<file path=docProps/app.xml><?xml version="1.0" encoding="utf-8"?>
<Properties xmlns="http://schemas.openxmlformats.org/officeDocument/2006/extended-properties" xmlns:vt="http://schemas.openxmlformats.org/officeDocument/2006/docPropsVTypes">
  <Template>Normal</Template>
  <Company>山东标准化协会</Company>
  <Pages>6</Pages>
  <Words>2702</Words>
  <Characters>2856</Characters>
  <Lines>35</Lines>
  <Paragraphs>9</Paragraphs>
  <TotalTime>33</TotalTime>
  <ScaleCrop>false</ScaleCrop>
  <LinksUpToDate>false</LinksUpToDate>
  <CharactersWithSpaces>2882</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2021-06-07T03:36:00Z</dcterms:created>
  <dc:creator>王明昊</dc:creator>
  <cp:lastModifiedBy>委员会</cp:lastModifiedBy>
  <cp:lastPrinted>2020-12-08T13:47:00Z</cp:lastPrinted>
  <dcterms:modified xsi:type="dcterms:W3CDTF">2024-09-10T06:07:02Z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798FE6252095472F8F953D15092B7ECC_13</vt:lpwstr>
  </property>
</Properties>
</file>