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8C70DA">
      <w:pPr>
        <w:pStyle w:val="123"/>
        <w:framePr w:wrap="around"/>
      </w:pPr>
      <w:r>
        <w:rPr>
          <w:rFonts w:ascii="Times New Roman"/>
        </w:rPr>
        <w:t>ICS</w:t>
      </w:r>
      <w:r>
        <w:rPr>
          <w:rFonts w:hAnsi="黑体"/>
        </w:rPr>
        <w:t> </w:t>
      </w:r>
      <w:r>
        <w:rPr>
          <w:rFonts w:hint="eastAsia" w:hAnsi="黑体"/>
        </w:rPr>
        <w:t xml:space="preserve"> 35.080</w:t>
      </w:r>
    </w:p>
    <w:p w14:paraId="0E7B0379">
      <w:pPr>
        <w:pStyle w:val="123"/>
        <w:framePr w:wrap="around"/>
      </w:pPr>
      <w:r>
        <w:rPr>
          <w:rFonts w:ascii="Times New Roman"/>
        </w:rPr>
        <w:t xml:space="preserve">CCS  </w:t>
      </w:r>
      <w:r>
        <w:rPr>
          <w:rFonts w:hint="eastAsia" w:ascii="Times New Roman"/>
        </w:rPr>
        <w:t>L</w:t>
      </w:r>
      <w:r>
        <w:t xml:space="preserve"> </w:t>
      </w:r>
      <w:r>
        <w:rPr>
          <w:rFonts w:hint="eastAsia"/>
        </w:rPr>
        <w:t>77</w:t>
      </w:r>
    </w:p>
    <w:tbl>
      <w:tblPr>
        <w:tblStyle w:val="3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628"/>
      </w:tblGrid>
      <w:tr w14:paraId="6BA56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628" w:type="dxa"/>
            <w:tcBorders>
              <w:top w:val="nil"/>
              <w:left w:val="nil"/>
              <w:bottom w:val="nil"/>
              <w:right w:val="nil"/>
            </w:tcBorders>
            <w:shd w:val="clear" w:color="auto" w:fill="auto"/>
          </w:tcPr>
          <w:p w14:paraId="258E08FB">
            <w:pPr>
              <w:pStyle w:val="123"/>
              <w:framePr w:wrap="around"/>
            </w:pPr>
            <w:r>
              <w:fldChar w:fldCharType="begin">
                <w:ffData>
                  <w:name w:val="BAH"/>
                  <w:enabled/>
                  <w:calcOnExit w:val="0"/>
                  <w:textInput/>
                </w:ffData>
              </w:fldChar>
            </w:r>
            <w:bookmarkStart w:id="0" w:name="BAH"/>
            <w:r>
              <w:instrText xml:space="preserve"> </w:instrText>
            </w:r>
            <w:r>
              <w:rPr>
                <w:rFonts w:hint="eastAsia"/>
              </w:rPr>
              <w:instrText xml:space="preserve">FORMTEXT</w:instrText>
            </w:r>
            <w:r>
              <w:instrText xml:space="preserve"> </w:instrText>
            </w:r>
            <w:r>
              <w:fldChar w:fldCharType="separate"/>
            </w:r>
            <w:r>
              <w:t>     </w:t>
            </w:r>
            <w:r>
              <w:fldChar w:fldCharType="end"/>
            </w:r>
            <w:bookmarkEnd w:id="0"/>
          </w:p>
        </w:tc>
      </w:tr>
    </w:tbl>
    <w:p w14:paraId="271692A1">
      <w:pPr>
        <w:pStyle w:val="109"/>
        <w:framePr w:w="6663" w:wrap="around" w:x="4095"/>
      </w:pPr>
      <w:r>
        <w:t>T/</w:t>
      </w:r>
      <w:r>
        <w:fldChar w:fldCharType="begin">
          <w:ffData>
            <w:name w:val="c5"/>
            <w:enabled/>
            <w:calcOnExit w:val="0"/>
            <w:entryMacro w:val="ShowHelp17"/>
            <w:textInput/>
          </w:ffData>
        </w:fldChar>
      </w:r>
      <w:bookmarkStart w:id="1" w:name="c5"/>
      <w:r>
        <w:instrText xml:space="preserve"> FORMTEXT </w:instrText>
      </w:r>
      <w:r>
        <w:fldChar w:fldCharType="separate"/>
      </w:r>
      <w:r>
        <w:t>SDASTC</w:t>
      </w:r>
      <w:r>
        <w:fldChar w:fldCharType="end"/>
      </w:r>
      <w:bookmarkEnd w:id="1"/>
    </w:p>
    <w:p w14:paraId="5B703CD8">
      <w:pPr>
        <w:pStyle w:val="110"/>
        <w:framePr w:wrap="around"/>
        <w:rPr>
          <w:rFonts w:ascii="Times New Roman" w:hAnsi="Times New Roman"/>
        </w:rPr>
      </w:pPr>
      <w:r>
        <w:fldChar w:fldCharType="begin">
          <w:ffData>
            <w:name w:val="c6"/>
            <w:enabled/>
            <w:calcOnExit w:val="0"/>
            <w:entryMacro w:val="showhelp13"/>
            <w:textInput/>
          </w:ffData>
        </w:fldChar>
      </w:r>
      <w:bookmarkStart w:id="2" w:name="c6"/>
      <w:r>
        <w:instrText xml:space="preserve"> FORMTEXT </w:instrText>
      </w:r>
      <w:r>
        <w:fldChar w:fldCharType="separate"/>
      </w:r>
      <w:r>
        <w:rPr>
          <w:rFonts w:hint="eastAsia"/>
        </w:rPr>
        <w:t>团体</w:t>
      </w:r>
      <w:r>
        <w:fldChar w:fldCharType="end"/>
      </w:r>
      <w:bookmarkEnd w:id="2"/>
      <w:r>
        <w:t>标</w:t>
      </w:r>
      <w:r>
        <w:rPr>
          <w:rFonts w:ascii="Times New Roman" w:hAnsi="Times New Roman"/>
        </w:rPr>
        <w:t>准</w:t>
      </w:r>
    </w:p>
    <w:p w14:paraId="00E7DBDE">
      <w:pPr>
        <w:pStyle w:val="47"/>
        <w:framePr w:wrap="around"/>
        <w:rPr>
          <w:rFonts w:hAnsi="黑体"/>
        </w:rPr>
      </w:pPr>
      <w:r>
        <w:rPr>
          <w:rFonts w:ascii="Times New Roman"/>
        </w:rPr>
        <w:t>T/</w:t>
      </w:r>
      <w:r>
        <w:rPr>
          <w:rFonts w:ascii="Times New Roman"/>
        </w:rPr>
        <w:fldChar w:fldCharType="begin">
          <w:ffData>
            <w:name w:val="StdNo0"/>
            <w:enabled/>
            <w:calcOnExit w:val="0"/>
            <w:textInput>
              <w:default w:val="×××"/>
            </w:textInput>
          </w:ffData>
        </w:fldChar>
      </w:r>
      <w:bookmarkStart w:id="3" w:name="StdNo0"/>
      <w:r>
        <w:rPr>
          <w:rFonts w:ascii="Times New Roman"/>
        </w:rPr>
        <w:instrText xml:space="preserve"> FORMTEXT </w:instrText>
      </w:r>
      <w:r>
        <w:rPr>
          <w:rFonts w:ascii="Times New Roman"/>
        </w:rPr>
        <w:fldChar w:fldCharType="separate"/>
      </w:r>
      <w:r>
        <w:rPr>
          <w:rFonts w:ascii="Times New Roman"/>
        </w:rPr>
        <w:t>SDASTC</w:t>
      </w:r>
      <w:r>
        <w:rPr>
          <w:rFonts w:ascii="Times New Roman"/>
        </w:rPr>
        <w:fldChar w:fldCharType="end"/>
      </w:r>
      <w:bookmarkEnd w:id="3"/>
      <w:r>
        <w:rPr>
          <w:rFonts w:hAnsi="黑体"/>
        </w:rPr>
        <w:t xml:space="preserve"> </w:t>
      </w:r>
      <w:r>
        <w:rPr>
          <w:rFonts w:hAnsi="黑体"/>
        </w:rPr>
        <w:fldChar w:fldCharType="begin">
          <w:ffData>
            <w:name w:val="StdNo1"/>
            <w:enabled/>
            <w:calcOnExit w:val="0"/>
            <w:textInput>
              <w:default w:val="××××"/>
            </w:textInput>
          </w:ffData>
        </w:fldChar>
      </w:r>
      <w:bookmarkStart w:id="4" w:name="StdNo1"/>
      <w:r>
        <w:rPr>
          <w:rFonts w:hAnsi="黑体"/>
        </w:rPr>
        <w:instrText xml:space="preserve"> FORMTEXT </w:instrText>
      </w:r>
      <w:r>
        <w:rPr>
          <w:rFonts w:hAnsi="黑体"/>
        </w:rPr>
        <w:fldChar w:fldCharType="separate"/>
      </w:r>
      <w:r>
        <w:rPr>
          <w:rFonts w:hAnsi="黑体"/>
        </w:rPr>
        <w:t>××××</w:t>
      </w:r>
      <w:r>
        <w:rPr>
          <w:rFonts w:hAnsi="黑体"/>
        </w:rPr>
        <w:fldChar w:fldCharType="end"/>
      </w:r>
      <w:bookmarkEnd w:id="4"/>
      <w:r>
        <w:rPr>
          <w:rFonts w:hAnsi="黑体"/>
        </w:rPr>
        <w:t>—</w:t>
      </w:r>
      <w:r>
        <w:rPr>
          <w:rFonts w:hAnsi="黑体"/>
        </w:rPr>
        <w:fldChar w:fldCharType="begin">
          <w:ffData>
            <w:name w:val="StdNo2"/>
            <w:enabled/>
            <w:calcOnExit w:val="0"/>
            <w:textInput>
              <w:default w:val="××××"/>
              <w:maxLength w:val="4"/>
            </w:textInput>
          </w:ffData>
        </w:fldChar>
      </w:r>
      <w:bookmarkStart w:id="5" w:name="StdNo2"/>
      <w:r>
        <w:rPr>
          <w:rFonts w:hAnsi="黑体"/>
        </w:rPr>
        <w:instrText xml:space="preserve"> FORMTEXT </w:instrText>
      </w:r>
      <w:r>
        <w:rPr>
          <w:rFonts w:hAnsi="黑体"/>
        </w:rPr>
        <w:fldChar w:fldCharType="separate"/>
      </w:r>
      <w:r>
        <w:rPr>
          <w:rFonts w:hAnsi="黑体"/>
        </w:rPr>
        <w:t>××××</w:t>
      </w:r>
      <w:r>
        <w:rPr>
          <w:rFonts w:hAnsi="黑体"/>
        </w:rPr>
        <w:fldChar w:fldCharType="end"/>
      </w:r>
      <w:bookmarkEnd w:id="5"/>
    </w:p>
    <w:tbl>
      <w:tblPr>
        <w:tblStyle w:val="3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130"/>
      </w:tblGrid>
      <w:tr w14:paraId="0F6D2D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9130" w:type="dxa"/>
            <w:tcBorders>
              <w:top w:val="nil"/>
              <w:left w:val="nil"/>
              <w:bottom w:val="nil"/>
              <w:right w:val="nil"/>
            </w:tcBorders>
            <w:shd w:val="clear" w:color="auto" w:fill="auto"/>
          </w:tcPr>
          <w:p w14:paraId="167F4414">
            <w:pPr>
              <w:pStyle w:val="76"/>
              <w:framePr w:wrap="around"/>
            </w:pPr>
            <w:r>
              <mc:AlternateContent>
                <mc:Choice Requires="wps">
                  <w:drawing>
                    <wp:anchor distT="0" distB="0" distL="114300" distR="114300" simplePos="0" relativeHeight="251662336" behindDoc="1" locked="0" layoutInCell="1" allowOverlap="1">
                      <wp:simplePos x="0" y="0"/>
                      <wp:positionH relativeFrom="column">
                        <wp:posOffset>4665980</wp:posOffset>
                      </wp:positionH>
                      <wp:positionV relativeFrom="paragraph">
                        <wp:posOffset>34290</wp:posOffset>
                      </wp:positionV>
                      <wp:extent cx="1143000" cy="228600"/>
                      <wp:effectExtent l="0" t="0" r="0" b="0"/>
                      <wp:wrapNone/>
                      <wp:docPr id="3" name="DT"/>
                      <wp:cNvGraphicFramePr/>
                      <a:graphic xmlns:a="http://schemas.openxmlformats.org/drawingml/2006/main">
                        <a:graphicData uri="http://schemas.microsoft.com/office/word/2010/wordprocessingShape">
                          <wps:wsp>
                            <wps:cNvSpPr/>
                            <wps:spPr>
                              <a:xfrm>
                                <a:off x="0" y="0"/>
                                <a:ext cx="1143000" cy="228600"/>
                              </a:xfrm>
                              <a:prstGeom prst="rect">
                                <a:avLst/>
                              </a:prstGeom>
                              <a:solidFill>
                                <a:srgbClr val="FFFFFF"/>
                              </a:solidFill>
                              <a:ln w="25400" cap="flat" cmpd="sng" algn="ctr">
                                <a:noFill/>
                                <a:prstDash val="solid"/>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DT" o:spid="_x0000_s1026" o:spt="1" style="position:absolute;left:0pt;margin-left:367.4pt;margin-top:2.7pt;height:18pt;width:90pt;z-index:-251654144;v-text-anchor:middle;mso-width-relative:page;mso-height-relative:page;" fillcolor="#FFFFFF" filled="t" stroked="f" coordsize="21600,21600" o:gfxdata="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xZ7k/9MAAAAIAQAADwAAAAAA&#10;AAABACAAAAAiAAAAZHJzL2Rvd25yZXYueG1sUEsBAhQAFAAAAAgAh07iQDpLbVVRAgAAvAQAAA4A&#10;AAAAAAAAAQAgAAAAIgEAAGRycy9lMm9Eb2MueG1sUEsFBgAAAAAGAAYAWQEAAOUFAAAAAA==&#10;">
                      <v:fill on="t" focussize="0,0"/>
                      <v:stroke on="f" weight="2pt"/>
                      <v:imagedata o:title=""/>
                      <o:lock v:ext="edit" aspectratio="f"/>
                    </v:rect>
                  </w:pict>
                </mc:Fallback>
              </mc:AlternateContent>
            </w:r>
            <w:r>
              <w:fldChar w:fldCharType="begin">
                <w:ffData>
                  <w:name w:val="DT"/>
                  <w:enabled/>
                  <w:calcOnExit w:val="0"/>
                  <w:entryMacro w:val="ShowHelp4"/>
                  <w:textInput/>
                </w:ffData>
              </w:fldChar>
            </w:r>
            <w:bookmarkStart w:id="6" w:name="DT"/>
            <w:r>
              <w:instrText xml:space="preserve"> FORMTEXT </w:instrText>
            </w:r>
            <w:r>
              <w:fldChar w:fldCharType="separate"/>
            </w:r>
            <w:r>
              <w:t>     </w:t>
            </w:r>
            <w:r>
              <w:fldChar w:fldCharType="end"/>
            </w:r>
            <w:bookmarkEnd w:id="6"/>
          </w:p>
        </w:tc>
      </w:tr>
    </w:tbl>
    <w:p w14:paraId="2F8F0FF0">
      <w:pPr>
        <w:pStyle w:val="47"/>
        <w:framePr w:wrap="around"/>
        <w:rPr>
          <w:rFonts w:hAnsi="黑体"/>
        </w:rPr>
      </w:pPr>
    </w:p>
    <w:p w14:paraId="20F173C1">
      <w:pPr>
        <w:pStyle w:val="47"/>
        <w:framePr w:wrap="around"/>
        <w:rPr>
          <w:rFonts w:hAnsi="黑体"/>
        </w:rPr>
      </w:pPr>
    </w:p>
    <w:p w14:paraId="3FFA6022">
      <w:pPr>
        <w:pStyle w:val="78"/>
        <w:framePr w:wrap="around"/>
        <w:rPr>
          <w:color w:val="000000" w:themeColor="text1"/>
          <w14:textFill>
            <w14:solidFill>
              <w14:schemeClr w14:val="tx1"/>
            </w14:solidFill>
          </w14:textFill>
        </w:rPr>
      </w:pPr>
      <w:r>
        <w:rPr>
          <w:rFonts w:hint="eastAsia"/>
          <w:color w:val="000000" w:themeColor="text1"/>
          <w14:textFill>
            <w14:solidFill>
              <w14:schemeClr w14:val="tx1"/>
            </w14:solidFill>
          </w14:textFill>
        </w:rPr>
        <w:t>基于COSMIC方法的软件开发成本度量实施规程</w:t>
      </w:r>
    </w:p>
    <w:p w14:paraId="42B21691">
      <w:pPr>
        <w:pStyle w:val="79"/>
        <w:framePr w:wrap="around"/>
        <w:rPr>
          <w:color w:val="000000" w:themeColor="text1"/>
          <w14:textFill>
            <w14:solidFill>
              <w14:schemeClr w14:val="tx1"/>
            </w14:solidFill>
          </w14:textFill>
        </w:rPr>
      </w:pPr>
      <w:r>
        <w:rPr>
          <w:rFonts w:hint="eastAsia"/>
          <w:color w:val="000000" w:themeColor="text1"/>
          <w14:textFill>
            <w14:solidFill>
              <w14:schemeClr w14:val="tx1"/>
            </w14:solidFill>
          </w14:textFill>
        </w:rPr>
        <w:t>Code of practice for software development cost measurement based on COSMIC method</w:t>
      </w:r>
    </w:p>
    <w:p w14:paraId="51367E91">
      <w:pPr>
        <w:pStyle w:val="80"/>
        <w:framePr w:wrap="around"/>
        <w:rPr>
          <w:rFonts w:hint="default" w:eastAsia="宋体"/>
          <w:sz w:val="28"/>
          <w:szCs w:val="28"/>
          <w:lang w:val="en-US" w:eastAsia="zh-CN"/>
        </w:rPr>
      </w:pPr>
      <w:r>
        <w:rPr>
          <w:rFonts w:hint="eastAsia"/>
          <w:sz w:val="28"/>
          <w:szCs w:val="28"/>
          <w:lang w:val="en-US" w:eastAsia="zh-CN"/>
        </w:rPr>
        <w:t>征求意见稿</w:t>
      </w:r>
    </w:p>
    <w:p w14:paraId="67003D9E">
      <w:pPr>
        <w:pStyle w:val="130"/>
        <w:framePr w:wrap="around"/>
      </w:pPr>
      <w:r>
        <w:rPr>
          <w:rFonts w:ascii="黑体"/>
        </w:rPr>
        <w:fldChar w:fldCharType="begin">
          <w:ffData>
            <w:name w:val="FY"/>
            <w:enabled/>
            <w:calcOnExit w:val="0"/>
            <w:entryMacro w:val="ShowHelp8"/>
            <w:textInput>
              <w:default w:val="××××"/>
              <w:maxLength w:val="4"/>
            </w:textInput>
          </w:ffData>
        </w:fldChar>
      </w:r>
      <w:bookmarkStart w:id="7" w:name="FY"/>
      <w:r>
        <w:rPr>
          <w:rFonts w:ascii="黑体"/>
        </w:rPr>
        <w:instrText xml:space="preserve"> FORMTEXT </w:instrText>
      </w:r>
      <w:r>
        <w:rPr>
          <w:rFonts w:ascii="黑体"/>
        </w:rPr>
        <w:fldChar w:fldCharType="separate"/>
      </w:r>
      <w:r>
        <w:rPr>
          <w:rFonts w:ascii="黑体"/>
        </w:rPr>
        <w:t>××××</w:t>
      </w:r>
      <w:r>
        <w:rPr>
          <w:rFonts w:ascii="黑体"/>
        </w:rPr>
        <w:fldChar w:fldCharType="end"/>
      </w:r>
      <w:bookmarkEnd w:id="7"/>
      <w:r>
        <w:t xml:space="preserve"> </w:t>
      </w:r>
      <w:r>
        <w:rPr>
          <w:rFonts w:ascii="黑体"/>
        </w:rPr>
        <w:t>-</w:t>
      </w:r>
      <w:r>
        <w:t xml:space="preserve"> </w:t>
      </w:r>
      <w:r>
        <w:rPr>
          <w:rFonts w:ascii="黑体"/>
        </w:rPr>
        <w:fldChar w:fldCharType="begin">
          <w:ffData>
            <w:name w:val="FM"/>
            <w:enabled/>
            <w:calcOnExit w:val="0"/>
            <w:entryMacro w:val="ShowHelp8"/>
            <w:textInput>
              <w:default w:val="××"/>
              <w:maxLength w:val="2"/>
            </w:textInput>
          </w:ffData>
        </w:fldChar>
      </w:r>
      <w:r>
        <w:rPr>
          <w:rFonts w:ascii="黑体"/>
        </w:rPr>
        <w:instrText xml:space="preserve"> FORMTEXT </w:instrText>
      </w:r>
      <w:r>
        <w:rPr>
          <w:rFonts w:ascii="黑体"/>
        </w:rPr>
        <w:fldChar w:fldCharType="separate"/>
      </w:r>
      <w:r>
        <w:rPr>
          <w:rFonts w:ascii="黑体"/>
        </w:rPr>
        <w:t>××</w:t>
      </w:r>
      <w:r>
        <w:rPr>
          <w:rFonts w:ascii="黑体"/>
        </w:rPr>
        <w:fldChar w:fldCharType="end"/>
      </w:r>
      <w:r>
        <w:t xml:space="preserve"> </w:t>
      </w:r>
      <w:r>
        <w:rPr>
          <w:rFonts w:ascii="黑体"/>
        </w:rPr>
        <w:t>-</w:t>
      </w:r>
      <w:r>
        <w:t xml:space="preserve"> </w:t>
      </w:r>
      <w:r>
        <w:rPr>
          <w:rFonts w:ascii="黑体"/>
        </w:rPr>
        <w:fldChar w:fldCharType="begin">
          <w:ffData>
            <w:name w:val="FD"/>
            <w:enabled/>
            <w:calcOnExit w:val="0"/>
            <w:entryMacro w:val="ShowHelp8"/>
            <w:textInput>
              <w:default w:val="××"/>
              <w:maxLength w:val="2"/>
            </w:textInput>
          </w:ffData>
        </w:fldChar>
      </w:r>
      <w:bookmarkStart w:id="8" w:name="FD"/>
      <w:r>
        <w:rPr>
          <w:rFonts w:ascii="黑体"/>
        </w:rPr>
        <w:instrText xml:space="preserve"> FORMTEXT </w:instrText>
      </w:r>
      <w:r>
        <w:rPr>
          <w:rFonts w:ascii="黑体"/>
        </w:rPr>
        <w:fldChar w:fldCharType="separate"/>
      </w:r>
      <w:r>
        <w:rPr>
          <w:rFonts w:ascii="黑体"/>
        </w:rPr>
        <w:t>××</w:t>
      </w:r>
      <w:r>
        <w:rPr>
          <w:rFonts w:ascii="黑体"/>
        </w:rPr>
        <w:fldChar w:fldCharType="end"/>
      </w:r>
      <w:bookmarkEnd w:id="8"/>
      <w:r>
        <w:rPr>
          <w:rFonts w:hint="eastAsia"/>
        </w:rPr>
        <w:t>发布</w:t>
      </w:r>
      <w:r>
        <w:rPr>
          <w:rFonts w:hint="eastAsia"/>
        </w:rPr>
        <mc:AlternateContent>
          <mc:Choice Requires="wps">
            <w:drawing>
              <wp:anchor distT="0" distB="0" distL="114300" distR="114300" simplePos="0" relativeHeight="251660288" behindDoc="0" locked="1" layoutInCell="1" allowOverlap="1">
                <wp:simplePos x="0" y="0"/>
                <wp:positionH relativeFrom="column">
                  <wp:posOffset>0</wp:posOffset>
                </wp:positionH>
                <wp:positionV relativeFrom="page">
                  <wp:posOffset>9251950</wp:posOffset>
                </wp:positionV>
                <wp:extent cx="6119495" cy="0"/>
                <wp:effectExtent l="0" t="0" r="33655" b="19050"/>
                <wp:wrapNone/>
                <wp:docPr id="1" name="直接连接符 1"/>
                <wp:cNvGraphicFramePr/>
                <a:graphic xmlns:a="http://schemas.openxmlformats.org/drawingml/2006/main">
                  <a:graphicData uri="http://schemas.microsoft.com/office/word/2010/wordprocessingShape">
                    <wps:wsp>
                      <wps:cNvCnPr/>
                      <wps:spPr>
                        <a:xfrm>
                          <a:off x="0" y="0"/>
                          <a:ext cx="611949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728.5pt;height:0pt;width:481.85pt;mso-position-vertical-relative:page;z-index:251660288;mso-width-relative:page;mso-height-relative:page;" filled="f" stroked="t" coordsize="21600,21600" o:gfxdata="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VG+0tgAAAAKAQAADwAAAAAAAAABACAAAAAiAAAAZHJzL2Rvd25yZXYueG1sUEsB&#10;AhQAFAAAAAgAh07iQF3PR0b1AQAA0wMAAA4AAAAAAAAAAQAgAAAAJwEAAGRycy9lMm9Eb2MueG1s&#10;UEsFBgAAAAAGAAYAWQEAAI4FAAAAAA==&#10;">
                <v:fill on="f" focussize="0,0"/>
                <v:stroke color="#4A7EBB [3204]" joinstyle="round"/>
                <v:imagedata o:title=""/>
                <o:lock v:ext="edit" aspectratio="f"/>
                <w10:anchorlock/>
              </v:line>
            </w:pict>
          </mc:Fallback>
        </mc:AlternateContent>
      </w:r>
    </w:p>
    <w:p w14:paraId="681421B5">
      <w:pPr>
        <w:pStyle w:val="131"/>
        <w:framePr w:wrap="around"/>
      </w:pPr>
      <w:r>
        <w:rPr>
          <w:rFonts w:ascii="黑体"/>
        </w:rPr>
        <w:fldChar w:fldCharType="begin">
          <w:ffData>
            <w:name w:val="SY"/>
            <w:enabled/>
            <w:calcOnExit w:val="0"/>
            <w:entryMacro w:val="ShowHelp9"/>
            <w:textInput>
              <w:default w:val="××××"/>
              <w:maxLength w:val="4"/>
            </w:textInput>
          </w:ffData>
        </w:fldChar>
      </w:r>
      <w:bookmarkStart w:id="9" w:name="SY"/>
      <w:r>
        <w:rPr>
          <w:rFonts w:ascii="黑体"/>
        </w:rPr>
        <w:instrText xml:space="preserve"> FORMTEXT </w:instrText>
      </w:r>
      <w:r>
        <w:rPr>
          <w:rFonts w:ascii="黑体"/>
        </w:rPr>
        <w:fldChar w:fldCharType="separate"/>
      </w:r>
      <w:r>
        <w:rPr>
          <w:rFonts w:ascii="黑体"/>
        </w:rPr>
        <w:t>××××</w:t>
      </w:r>
      <w:r>
        <w:rPr>
          <w:rFonts w:ascii="黑体"/>
        </w:rPr>
        <w:fldChar w:fldCharType="end"/>
      </w:r>
      <w:bookmarkEnd w:id="9"/>
      <w:r>
        <w:t xml:space="preserve"> </w:t>
      </w:r>
      <w:r>
        <w:rPr>
          <w:rFonts w:ascii="黑体"/>
        </w:rPr>
        <w:t>-</w:t>
      </w:r>
      <w:r>
        <w:t xml:space="preserve"> </w:t>
      </w:r>
      <w:r>
        <w:rPr>
          <w:rFonts w:ascii="黑体"/>
        </w:rPr>
        <w:fldChar w:fldCharType="begin">
          <w:ffData>
            <w:name w:val="SM"/>
            <w:enabled/>
            <w:calcOnExit w:val="0"/>
            <w:entryMacro w:val="ShowHelp9"/>
            <w:textInput>
              <w:default w:val="××"/>
              <w:maxLength w:val="2"/>
            </w:textInput>
          </w:ffData>
        </w:fldChar>
      </w:r>
      <w:bookmarkStart w:id="10" w:name="SM"/>
      <w:r>
        <w:rPr>
          <w:rFonts w:ascii="黑体"/>
        </w:rPr>
        <w:instrText xml:space="preserve"> FORMTEXT </w:instrText>
      </w:r>
      <w:r>
        <w:rPr>
          <w:rFonts w:ascii="黑体"/>
        </w:rPr>
        <w:fldChar w:fldCharType="separate"/>
      </w:r>
      <w:r>
        <w:rPr>
          <w:rFonts w:ascii="黑体"/>
        </w:rPr>
        <w:t>××</w:t>
      </w:r>
      <w:r>
        <w:rPr>
          <w:rFonts w:ascii="黑体"/>
        </w:rPr>
        <w:fldChar w:fldCharType="end"/>
      </w:r>
      <w:bookmarkEnd w:id="10"/>
      <w:r>
        <w:t xml:space="preserve"> </w:t>
      </w:r>
      <w:r>
        <w:rPr>
          <w:rFonts w:ascii="黑体"/>
        </w:rPr>
        <w:t>-</w:t>
      </w:r>
      <w:r>
        <w:t xml:space="preserve"> </w:t>
      </w:r>
      <w:r>
        <w:rPr>
          <w:rFonts w:ascii="黑体"/>
        </w:rPr>
        <w:fldChar w:fldCharType="begin">
          <w:ffData>
            <w:name w:val="SD"/>
            <w:enabled/>
            <w:calcOnExit w:val="0"/>
            <w:entryMacro w:val="ShowHelp9"/>
            <w:textInput>
              <w:default w:val="××"/>
              <w:maxLength w:val="2"/>
            </w:textInput>
          </w:ffData>
        </w:fldChar>
      </w:r>
      <w:bookmarkStart w:id="11" w:name="SD"/>
      <w:r>
        <w:rPr>
          <w:rFonts w:ascii="黑体"/>
        </w:rPr>
        <w:instrText xml:space="preserve"> FORMTEXT </w:instrText>
      </w:r>
      <w:r>
        <w:rPr>
          <w:rFonts w:ascii="黑体"/>
        </w:rPr>
        <w:fldChar w:fldCharType="separate"/>
      </w:r>
      <w:r>
        <w:rPr>
          <w:rFonts w:ascii="黑体"/>
        </w:rPr>
        <w:t>××</w:t>
      </w:r>
      <w:r>
        <w:rPr>
          <w:rFonts w:ascii="黑体"/>
        </w:rPr>
        <w:fldChar w:fldCharType="end"/>
      </w:r>
      <w:bookmarkEnd w:id="11"/>
      <w:r>
        <w:rPr>
          <w:rFonts w:hint="eastAsia"/>
        </w:rPr>
        <w:t>实施</w:t>
      </w:r>
    </w:p>
    <w:p w14:paraId="404F6DC0">
      <w:pPr>
        <w:pStyle w:val="111"/>
        <w:framePr w:wrap="around"/>
      </w:pPr>
      <w:r>
        <w:fldChar w:fldCharType="begin">
          <w:ffData>
            <w:name w:val="fm"/>
            <w:enabled/>
            <w:calcOnExit w:val="0"/>
            <w:textInput/>
          </w:ffData>
        </w:fldChar>
      </w:r>
      <w:bookmarkStart w:id="12" w:name="fm"/>
      <w:r>
        <w:instrText xml:space="preserve"> FORMTEXT </w:instrText>
      </w:r>
      <w:r>
        <w:fldChar w:fldCharType="separate"/>
      </w:r>
      <w:r>
        <w:rPr>
          <w:rFonts w:hint="eastAsia"/>
        </w:rPr>
        <w:t>山东科技咨询协会</w:t>
      </w:r>
      <w:r>
        <w:fldChar w:fldCharType="end"/>
      </w:r>
      <w:bookmarkEnd w:id="12"/>
      <w:r>
        <w:t xml:space="preserve"> </w:t>
      </w:r>
      <w:r>
        <w:rPr>
          <w:rStyle w:val="73"/>
        </w:rPr>
        <w:t xml:space="preserve"> </w:t>
      </w:r>
      <w:r>
        <w:rPr>
          <w:rStyle w:val="73"/>
          <w:rFonts w:hint="eastAsia"/>
        </w:rPr>
        <w:t>发布</w:t>
      </w:r>
    </w:p>
    <w:p w14:paraId="4C4672E7">
      <w:pPr>
        <w:pStyle w:val="24"/>
        <w:sectPr>
          <w:pgSz w:w="11906" w:h="16838"/>
          <w:pgMar w:top="567" w:right="850" w:bottom="1134" w:left="1418" w:header="0" w:footer="0" w:gutter="0"/>
          <w:pgNumType w:start="1"/>
          <w:cols w:space="425" w:num="1"/>
          <w:docGrid w:type="lines" w:linePitch="312" w:charSpace="0"/>
        </w:sectPr>
      </w:pPr>
      <w:r>
        <w:rPr>
          <w:rFonts w:hint="eastAsia"/>
        </w:rPr>
        <mc:AlternateContent>
          <mc:Choice Requires="wps">
            <w:drawing>
              <wp:anchor distT="0" distB="0" distL="114300" distR="114300" simplePos="0" relativeHeight="251664384" behindDoc="0" locked="0" layoutInCell="1" allowOverlap="1">
                <wp:simplePos x="0" y="0"/>
                <wp:positionH relativeFrom="margin">
                  <wp:align>left</wp:align>
                </wp:positionH>
                <wp:positionV relativeFrom="paragraph">
                  <wp:posOffset>8910955</wp:posOffset>
                </wp:positionV>
                <wp:extent cx="6120130" cy="0"/>
                <wp:effectExtent l="0" t="0" r="33655" b="19050"/>
                <wp:wrapNone/>
                <wp:docPr id="7" name="直接连接符 7"/>
                <wp:cNvGraphicFramePr/>
                <a:graphic xmlns:a="http://schemas.openxmlformats.org/drawingml/2006/main">
                  <a:graphicData uri="http://schemas.microsoft.com/office/word/2010/wordprocessingShape">
                    <wps:wsp>
                      <wps:cNvCnPr/>
                      <wps:spPr>
                        <a:xfrm>
                          <a:off x="0" y="0"/>
                          <a:ext cx="612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top:701.65pt;height:0pt;width:481.9pt;mso-position-horizontal:left;mso-position-horizontal-relative:margin;z-index:251664384;mso-width-relative:page;mso-height-relative:page;" filled="f" stroked="t" coordsize="21600,21600" o:gfxdata="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8v7j1NUAAAAKAQAADwAAAAAAAAABACAA&#10;AAAiAAAAZHJzL2Rvd25yZXYueG1sUEsBAhQAFAAAAAgAh07iQK0rgnTXAQAAmgMAAA4AAAAAAAAA&#10;AQAgAAAAJAEAAGRycy9lMm9Eb2MueG1sUEsFBgAAAAAGAAYAWQEAAG0FAAAAAA==&#10;">
                <v:fill on="f" focussize="0,0"/>
                <v:stroke color="#000000 [3213]" joinstyle="round"/>
                <v:imagedata o:title=""/>
                <o:lock v:ext="edit" aspectratio="f"/>
              </v:line>
            </w:pict>
          </mc:Fallback>
        </mc:AlternateContent>
      </w:r>
      <w:r>
        <w:rPr>
          <w:rFonts w:hint="eastAsia"/>
        </w:rPr>
        <mc:AlternateContent>
          <mc:Choice Requires="wps">
            <w:drawing>
              <wp:anchor distT="0" distB="0" distL="114300" distR="114300" simplePos="0" relativeHeight="251663360" behindDoc="1" locked="0" layoutInCell="1" allowOverlap="1">
                <wp:simplePos x="0" y="0"/>
                <wp:positionH relativeFrom="column">
                  <wp:posOffset>-66675</wp:posOffset>
                </wp:positionH>
                <wp:positionV relativeFrom="paragraph">
                  <wp:posOffset>396240</wp:posOffset>
                </wp:positionV>
                <wp:extent cx="866775" cy="198120"/>
                <wp:effectExtent l="0" t="0" r="9525" b="0"/>
                <wp:wrapNone/>
                <wp:docPr id="6" name="BAH"/>
                <wp:cNvGraphicFramePr/>
                <a:graphic xmlns:a="http://schemas.openxmlformats.org/drawingml/2006/main">
                  <a:graphicData uri="http://schemas.microsoft.com/office/word/2010/wordprocessingShape">
                    <wps:wsp>
                      <wps:cNvSpPr/>
                      <wps:spPr>
                        <a:xfrm>
                          <a:off x="0" y="0"/>
                          <a:ext cx="866775" cy="198120"/>
                        </a:xfrm>
                        <a:prstGeom prst="rect">
                          <a:avLst/>
                        </a:prstGeom>
                        <a:solidFill>
                          <a:srgbClr val="FFFFFF"/>
                        </a:solidFill>
                        <a:ln w="25400" cap="flat" cmpd="sng" algn="ctr">
                          <a:noFill/>
                          <a:prstDash val="solid"/>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BAH" o:spid="_x0000_s1026" o:spt="1" style="position:absolute;left:0pt;margin-left:-5.25pt;margin-top:31.2pt;height:15.6pt;width:68.25pt;z-index:-251653120;v-text-anchor:middle;mso-width-relative:page;mso-height-relative:page;" fillcolor="#FFFFFF" filled="t" stroked="f" coordsize="21600,21600" o:gfxdata="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LWm2xzVAAAACQEA&#10;AA8AAAAAAAAAAQAgAAAAIgAAAGRycy9kb3ducmV2LnhtbFBLAQIUABQAAAAIAIdO4kB1Cz8HVgIA&#10;ALwEAAAOAAAAAAAAAAEAIAAAACQBAABkcnMvZTJvRG9jLnhtbFBLBQYAAAAABgAGAFkBAADsBQAA&#10;AAA=&#10;">
                <v:fill on="t" focussize="0,0"/>
                <v:stroke on="f" weight="2pt"/>
                <v:imagedata o:title=""/>
                <o:lock v:ext="edit" aspectratio="f"/>
              </v:rect>
            </w:pict>
          </mc:Fallback>
        </mc:AlternateContent>
      </w:r>
      <w:r>
        <w:rPr>
          <w:rFonts w:hint="eastAsia"/>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2339340</wp:posOffset>
                </wp:positionV>
                <wp:extent cx="6120130" cy="0"/>
                <wp:effectExtent l="0" t="0" r="33655" b="19050"/>
                <wp:wrapNone/>
                <wp:docPr id="2" name="直接连接符 2"/>
                <wp:cNvGraphicFramePr/>
                <a:graphic xmlns:a="http://schemas.openxmlformats.org/drawingml/2006/main">
                  <a:graphicData uri="http://schemas.microsoft.com/office/word/2010/wordprocessingShape">
                    <wps:wsp>
                      <wps:cNvCnPr/>
                      <wps:spPr>
                        <a:xfrm>
                          <a:off x="0" y="0"/>
                          <a:ext cx="612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184.2pt;height:0pt;width:481.9pt;z-index:251661312;mso-width-relative:page;mso-height-relative:page;" filled="f" stroked="t" coordsize="21600,21600" o:gfxdata="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jd8ps9UAAAAIAQAADwAAAAAAAAABACAA&#10;AAAiAAAAZHJzL2Rvd25yZXYueG1sUEsBAhQAFAAAAAgAh07iQHElybrXAQAAmgMAAA4AAAAAAAAA&#10;AQAgAAAAJAEAAGRycy9lMm9Eb2MueG1sUEsFBgAAAAAGAAYAWQEAAG0FAAAAAA==&#10;">
                <v:fill on="f" focussize="0,0"/>
                <v:stroke color="#000000 [3213]" joinstyle="round"/>
                <v:imagedata o:title=""/>
                <o:lock v:ext="edit" aspectratio="f"/>
              </v:line>
            </w:pict>
          </mc:Fallback>
        </mc:AlternateContent>
      </w:r>
    </w:p>
    <w:p w14:paraId="56E7B502">
      <w:pPr>
        <w:pStyle w:val="50"/>
      </w:pPr>
      <w:r>
        <w:rPr>
          <w:rFonts w:hint="eastAsia"/>
        </w:rPr>
        <w:t>目</w:t>
      </w:r>
      <w:bookmarkStart w:id="13" w:name="BKML"/>
      <w:r>
        <w:rPr>
          <w:rFonts w:hAnsi="黑体"/>
        </w:rPr>
        <w:t>  </w:t>
      </w:r>
      <w:r>
        <w:rPr>
          <w:rFonts w:hint="eastAsia"/>
        </w:rPr>
        <w:t>次</w:t>
      </w:r>
      <w:bookmarkEnd w:id="13"/>
    </w:p>
    <w:p w14:paraId="60C2C929">
      <w:pPr>
        <w:pStyle w:val="20"/>
        <w:keepNext w:val="0"/>
        <w:keepLines w:val="0"/>
        <w:pageBreakBefore w:val="0"/>
        <w:kinsoku/>
        <w:wordWrap/>
        <w:overflowPunct/>
        <w:topLinePunct w:val="0"/>
        <w:bidi w:val="0"/>
        <w:adjustRightInd/>
        <w:snapToGrid/>
        <w:spacing w:beforeLines="0" w:afterLines="0"/>
        <w:textAlignment w:val="auto"/>
        <w:rPr>
          <w:color w:val="auto"/>
        </w:rPr>
      </w:pPr>
      <w:r>
        <w:fldChar w:fldCharType="begin" w:fldLock="1"/>
      </w:r>
      <w:r>
        <w:instrText xml:space="preserve"> </w:instrText>
      </w:r>
      <w:r>
        <w:rPr>
          <w:rFonts w:hint="eastAsia"/>
        </w:rPr>
        <w:instrText xml:space="preserve">TOC \h \z \t"前言、引言标题,1,参考文献、索引标题,1,章标题,1,参考文献,1,附录标识,1" \* MERGEFORMAT</w:instrText>
      </w:r>
      <w:r>
        <w:instrText xml:space="preserve"> </w:instrText>
      </w:r>
      <w:r>
        <w:fldChar w:fldCharType="separate"/>
      </w:r>
      <w:r>
        <w:rPr>
          <w:color w:val="auto"/>
        </w:rPr>
        <w:fldChar w:fldCharType="begin"/>
      </w:r>
      <w:r>
        <w:rPr>
          <w:color w:val="auto"/>
        </w:rPr>
        <w:instrText xml:space="preserve"> HYPERLINK \l "_Toc161770597" </w:instrText>
      </w:r>
      <w:r>
        <w:rPr>
          <w:color w:val="auto"/>
        </w:rPr>
        <w:fldChar w:fldCharType="separate"/>
      </w:r>
      <w:r>
        <w:rPr>
          <w:rStyle w:val="39"/>
          <w:rFonts w:hint="eastAsia"/>
          <w:color w:val="auto"/>
        </w:rPr>
        <w:t>前言...................................................................................</w:t>
      </w:r>
      <w:r>
        <w:rPr>
          <w:rFonts w:hint="eastAsia" w:hAnsi="宋体" w:cs="宋体"/>
          <w:color w:val="auto"/>
        </w:rPr>
        <w:t>Ⅱ</w:t>
      </w:r>
      <w:r>
        <w:rPr>
          <w:rFonts w:hint="eastAsia" w:hAnsi="宋体" w:cs="宋体"/>
          <w:color w:val="auto"/>
        </w:rPr>
        <w:fldChar w:fldCharType="end"/>
      </w:r>
    </w:p>
    <w:p w14:paraId="012B7356">
      <w:pPr>
        <w:keepNext w:val="0"/>
        <w:keepLines w:val="0"/>
        <w:pageBreakBefore w:val="0"/>
        <w:kinsoku/>
        <w:wordWrap/>
        <w:overflowPunct/>
        <w:topLinePunct w:val="0"/>
        <w:bidi w:val="0"/>
        <w:adjustRightInd/>
        <w:snapToGrid/>
        <w:textAlignment w:val="auto"/>
        <w:rPr>
          <w:rFonts w:ascii="宋体"/>
          <w:color w:val="auto"/>
          <w:szCs w:val="21"/>
        </w:rPr>
      </w:pPr>
      <w:r>
        <w:rPr>
          <w:rFonts w:hint="eastAsia" w:ascii="宋体"/>
          <w:color w:val="auto"/>
          <w:szCs w:val="21"/>
        </w:rPr>
        <w:t>引言...................................................................................</w:t>
      </w:r>
      <w:r>
        <w:rPr>
          <w:rFonts w:hint="eastAsia" w:ascii="宋体" w:hAnsi="宋体" w:cs="宋体"/>
          <w:color w:val="auto"/>
          <w:szCs w:val="21"/>
        </w:rPr>
        <w:t>Ⅲ</w:t>
      </w:r>
    </w:p>
    <w:p w14:paraId="030A9BF6">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Ansi="宋体" w:cs="宋体"/>
          <w:color w:val="auto"/>
        </w:rPr>
      </w:pPr>
      <w:r>
        <w:rPr>
          <w:color w:val="auto"/>
        </w:rPr>
        <w:fldChar w:fldCharType="begin"/>
      </w:r>
      <w:r>
        <w:rPr>
          <w:color w:val="auto"/>
        </w:rPr>
        <w:instrText xml:space="preserve"> HYPERLINK \l "_Toc8156" </w:instrText>
      </w:r>
      <w:r>
        <w:rPr>
          <w:color w:val="auto"/>
        </w:rPr>
        <w:fldChar w:fldCharType="separate"/>
      </w:r>
      <w:r>
        <w:rPr>
          <w:rFonts w:hint="eastAsia" w:hAnsi="宋体" w:cs="宋体"/>
          <w:color w:val="auto"/>
        </w:rPr>
        <w:t>1　范围</w:t>
      </w:r>
      <w:r>
        <w:rPr>
          <w:rFonts w:hint="eastAsia" w:hAnsi="宋体" w:cs="宋体"/>
          <w:color w:val="auto"/>
        </w:rPr>
        <w:tab/>
      </w:r>
      <w:r>
        <w:rPr>
          <w:rFonts w:hint="eastAsia" w:hAnsi="宋体" w:cs="宋体"/>
          <w:color w:val="auto"/>
          <w:lang w:val="en-US" w:eastAsia="zh-CN"/>
        </w:rPr>
        <w:t>1</w:t>
      </w:r>
      <w:r>
        <w:rPr>
          <w:rFonts w:hint="eastAsia" w:hAnsi="宋体" w:cs="宋体"/>
          <w:color w:val="auto"/>
        </w:rPr>
        <w:fldChar w:fldCharType="end"/>
      </w:r>
    </w:p>
    <w:p w14:paraId="6DC0CCC8">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Ansi="宋体" w:cs="宋体"/>
          <w:color w:val="auto"/>
        </w:rPr>
      </w:pPr>
      <w:r>
        <w:rPr>
          <w:color w:val="auto"/>
        </w:rPr>
        <w:fldChar w:fldCharType="begin"/>
      </w:r>
      <w:r>
        <w:rPr>
          <w:color w:val="auto"/>
        </w:rPr>
        <w:instrText xml:space="preserve"> HYPERLINK \l "_Toc2943" </w:instrText>
      </w:r>
      <w:r>
        <w:rPr>
          <w:color w:val="auto"/>
        </w:rPr>
        <w:fldChar w:fldCharType="separate"/>
      </w:r>
      <w:r>
        <w:rPr>
          <w:rFonts w:hint="eastAsia" w:hAnsi="宋体" w:cs="宋体"/>
          <w:color w:val="auto"/>
        </w:rPr>
        <w:t>2　规范性引用文件</w:t>
      </w:r>
      <w:r>
        <w:rPr>
          <w:rFonts w:hint="eastAsia" w:hAnsi="宋体" w:cs="宋体"/>
          <w:color w:val="auto"/>
        </w:rPr>
        <w:tab/>
      </w:r>
      <w:r>
        <w:rPr>
          <w:rFonts w:hint="eastAsia" w:hAnsi="宋体" w:cs="宋体"/>
          <w:color w:val="auto"/>
          <w:lang w:val="en-US" w:eastAsia="zh-CN"/>
        </w:rPr>
        <w:t>1</w:t>
      </w:r>
      <w:r>
        <w:rPr>
          <w:rFonts w:hint="eastAsia" w:hAnsi="宋体" w:cs="宋体"/>
          <w:color w:val="auto"/>
        </w:rPr>
        <w:fldChar w:fldCharType="end"/>
      </w:r>
    </w:p>
    <w:p w14:paraId="29BA895F">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Ansi="宋体" w:cs="宋体"/>
          <w:color w:val="auto"/>
        </w:rPr>
      </w:pPr>
      <w:r>
        <w:rPr>
          <w:color w:val="auto"/>
        </w:rPr>
        <w:fldChar w:fldCharType="begin"/>
      </w:r>
      <w:r>
        <w:rPr>
          <w:color w:val="auto"/>
        </w:rPr>
        <w:instrText xml:space="preserve"> HYPERLINK \l "_Toc20161" </w:instrText>
      </w:r>
      <w:r>
        <w:rPr>
          <w:color w:val="auto"/>
        </w:rPr>
        <w:fldChar w:fldCharType="separate"/>
      </w:r>
      <w:r>
        <w:rPr>
          <w:rFonts w:hint="eastAsia" w:hAnsi="宋体" w:cs="宋体"/>
          <w:color w:val="auto"/>
        </w:rPr>
        <w:t>3　术语和定义</w:t>
      </w:r>
      <w:r>
        <w:rPr>
          <w:rFonts w:hint="eastAsia" w:hAnsi="宋体" w:cs="宋体"/>
          <w:color w:val="auto"/>
        </w:rPr>
        <w:tab/>
      </w:r>
      <w:r>
        <w:rPr>
          <w:rFonts w:hint="eastAsia" w:hAnsi="宋体" w:cs="宋体"/>
          <w:color w:val="auto"/>
          <w:lang w:val="en-US" w:eastAsia="zh-CN"/>
        </w:rPr>
        <w:t>1</w:t>
      </w:r>
      <w:r>
        <w:rPr>
          <w:rFonts w:hint="eastAsia" w:hAnsi="宋体" w:cs="宋体"/>
          <w:color w:val="auto"/>
        </w:rPr>
        <w:fldChar w:fldCharType="end"/>
      </w:r>
    </w:p>
    <w:p w14:paraId="31289A60">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Ansi="宋体" w:cs="宋体"/>
          <w:color w:val="auto"/>
        </w:rPr>
      </w:pPr>
      <w:r>
        <w:rPr>
          <w:color w:val="auto"/>
        </w:rPr>
        <w:fldChar w:fldCharType="begin"/>
      </w:r>
      <w:r>
        <w:rPr>
          <w:color w:val="auto"/>
        </w:rPr>
        <w:instrText xml:space="preserve"> HYPERLINK \l "_Toc20199" </w:instrText>
      </w:r>
      <w:r>
        <w:rPr>
          <w:color w:val="auto"/>
        </w:rPr>
        <w:fldChar w:fldCharType="separate"/>
      </w:r>
      <w:r>
        <w:rPr>
          <w:rFonts w:hint="eastAsia" w:hAnsi="宋体" w:cs="宋体"/>
          <w:color w:val="auto"/>
        </w:rPr>
        <w:t>4　</w:t>
      </w:r>
      <w:r>
        <w:rPr>
          <w:rFonts w:hint="eastAsia" w:hAnsi="宋体" w:cs="宋体"/>
          <w:bCs/>
          <w:color w:val="auto"/>
        </w:rPr>
        <w:t>缩略语</w:t>
      </w:r>
      <w:r>
        <w:rPr>
          <w:rFonts w:hint="eastAsia" w:hAnsi="宋体" w:cs="宋体"/>
          <w:color w:val="auto"/>
        </w:rPr>
        <w:tab/>
      </w:r>
      <w:r>
        <w:rPr>
          <w:rFonts w:hint="eastAsia" w:hAnsi="宋体" w:cs="宋体"/>
          <w:color w:val="auto"/>
          <w:lang w:val="en-US" w:eastAsia="zh-CN"/>
        </w:rPr>
        <w:t>3</w:t>
      </w:r>
      <w:r>
        <w:rPr>
          <w:rFonts w:hint="eastAsia" w:hAnsi="宋体" w:cs="宋体"/>
          <w:color w:val="auto"/>
        </w:rPr>
        <w:fldChar w:fldCharType="end"/>
      </w:r>
    </w:p>
    <w:p w14:paraId="443BAAF9">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Ansi="宋体" w:cs="宋体"/>
          <w:color w:val="auto"/>
        </w:rPr>
      </w:pPr>
      <w:r>
        <w:rPr>
          <w:color w:val="auto"/>
        </w:rPr>
        <w:fldChar w:fldCharType="begin"/>
      </w:r>
      <w:r>
        <w:rPr>
          <w:color w:val="auto"/>
        </w:rPr>
        <w:instrText xml:space="preserve"> HYPERLINK \l "_Toc7013" </w:instrText>
      </w:r>
      <w:r>
        <w:rPr>
          <w:color w:val="auto"/>
        </w:rPr>
        <w:fldChar w:fldCharType="separate"/>
      </w:r>
      <w:r>
        <w:rPr>
          <w:rFonts w:hint="eastAsia" w:hAnsi="宋体" w:cs="宋体"/>
          <w:color w:val="auto"/>
        </w:rPr>
        <w:t>5　</w:t>
      </w:r>
      <w:r>
        <w:rPr>
          <w:rFonts w:hint="eastAsia" w:hAnsi="宋体" w:cs="宋体"/>
          <w:bCs/>
          <w:color w:val="auto"/>
        </w:rPr>
        <w:t>符合性声明</w:t>
      </w:r>
      <w:r>
        <w:rPr>
          <w:rFonts w:hint="eastAsia" w:hAnsi="宋体" w:cs="宋体"/>
          <w:color w:val="auto"/>
        </w:rPr>
        <w:tab/>
      </w:r>
      <w:r>
        <w:rPr>
          <w:rFonts w:hint="eastAsia" w:hAnsi="宋体" w:cs="宋体"/>
          <w:color w:val="auto"/>
          <w:lang w:val="en-US" w:eastAsia="zh-CN"/>
        </w:rPr>
        <w:t>4</w:t>
      </w:r>
      <w:r>
        <w:rPr>
          <w:rFonts w:hint="eastAsia" w:hAnsi="宋体" w:cs="宋体"/>
          <w:color w:val="auto"/>
        </w:rPr>
        <w:fldChar w:fldCharType="end"/>
      </w:r>
    </w:p>
    <w:p w14:paraId="6250E210">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int="eastAsia" w:hAnsi="宋体" w:cs="宋体"/>
          <w:color w:val="auto"/>
        </w:rPr>
      </w:pPr>
      <w:r>
        <w:rPr>
          <w:color w:val="auto"/>
        </w:rPr>
        <w:fldChar w:fldCharType="begin"/>
      </w:r>
      <w:r>
        <w:rPr>
          <w:color w:val="auto"/>
        </w:rPr>
        <w:instrText xml:space="preserve"> HYPERLINK \l "_Toc3852" </w:instrText>
      </w:r>
      <w:r>
        <w:rPr>
          <w:color w:val="auto"/>
        </w:rPr>
        <w:fldChar w:fldCharType="separate"/>
      </w:r>
      <w:r>
        <w:rPr>
          <w:rFonts w:hint="eastAsia" w:hAnsi="宋体" w:cs="宋体"/>
          <w:color w:val="auto"/>
        </w:rPr>
        <w:t>6　</w:t>
      </w:r>
      <w:r>
        <w:rPr>
          <w:rFonts w:hint="eastAsia" w:hAnsi="宋体" w:cs="宋体"/>
          <w:bCs/>
          <w:color w:val="auto"/>
        </w:rPr>
        <w:t>软件开发成本度量流程</w:t>
      </w:r>
      <w:r>
        <w:rPr>
          <w:rFonts w:hint="eastAsia" w:hAnsi="宋体" w:cs="宋体"/>
          <w:color w:val="auto"/>
        </w:rPr>
        <w:tab/>
      </w:r>
      <w:r>
        <w:rPr>
          <w:rFonts w:hint="eastAsia" w:hAnsi="宋体" w:cs="宋体"/>
          <w:color w:val="auto"/>
        </w:rPr>
        <w:t>4</w:t>
      </w:r>
      <w:r>
        <w:rPr>
          <w:rFonts w:hint="eastAsia" w:hAnsi="宋体" w:cs="宋体"/>
          <w:color w:val="auto"/>
        </w:rPr>
        <w:fldChar w:fldCharType="end"/>
      </w:r>
    </w:p>
    <w:p w14:paraId="45EE7172">
      <w:pPr>
        <w:pStyle w:val="20"/>
        <w:keepNext w:val="0"/>
        <w:keepLines w:val="0"/>
        <w:pageBreakBefore w:val="0"/>
        <w:tabs>
          <w:tab w:val="right" w:leader="dot" w:pos="9354"/>
          <w:tab w:val="clear" w:pos="9241"/>
        </w:tabs>
        <w:kinsoku/>
        <w:wordWrap/>
        <w:overflowPunct/>
        <w:topLinePunct w:val="0"/>
        <w:bidi w:val="0"/>
        <w:adjustRightInd/>
        <w:snapToGrid/>
        <w:spacing w:beforeLines="0" w:afterLines="0"/>
        <w:ind w:firstLine="420" w:firstLineChars="0"/>
        <w:textAlignment w:val="auto"/>
        <w:rPr>
          <w:color w:val="auto"/>
          <w:sz w:val="21"/>
          <w:szCs w:val="21"/>
        </w:rPr>
      </w:pPr>
      <w:r>
        <w:rPr>
          <w:color w:val="auto"/>
          <w:sz w:val="21"/>
          <w:szCs w:val="21"/>
          <w:lang w:val="en-US" w:eastAsia="zh-CN"/>
        </w:rPr>
        <w:t xml:space="preserve">6.1  软件功能规模度量 </w:t>
      </w:r>
      <w:r>
        <w:rPr>
          <w:rFonts w:hint="eastAsia"/>
          <w:color w:val="auto"/>
          <w:sz w:val="21"/>
          <w:szCs w:val="21"/>
          <w:lang w:val="en-US" w:eastAsia="zh-CN"/>
        </w:rPr>
        <w:t>...............................................................4</w:t>
      </w:r>
    </w:p>
    <w:p w14:paraId="6DA70C4A">
      <w:pPr>
        <w:pStyle w:val="20"/>
        <w:keepNext w:val="0"/>
        <w:keepLines w:val="0"/>
        <w:pageBreakBefore w:val="0"/>
        <w:tabs>
          <w:tab w:val="right" w:leader="dot" w:pos="9354"/>
          <w:tab w:val="clear" w:pos="9241"/>
        </w:tabs>
        <w:kinsoku/>
        <w:wordWrap/>
        <w:overflowPunct/>
        <w:topLinePunct w:val="0"/>
        <w:bidi w:val="0"/>
        <w:adjustRightInd/>
        <w:snapToGrid/>
        <w:spacing w:beforeLines="0" w:afterLines="0"/>
        <w:ind w:firstLine="420" w:firstLineChars="0"/>
        <w:textAlignment w:val="auto"/>
        <w:rPr>
          <w:color w:val="auto"/>
          <w:sz w:val="21"/>
          <w:szCs w:val="21"/>
        </w:rPr>
      </w:pPr>
      <w:r>
        <w:rPr>
          <w:color w:val="auto"/>
          <w:sz w:val="21"/>
          <w:szCs w:val="21"/>
          <w:lang w:val="en-US" w:eastAsia="zh-CN"/>
        </w:rPr>
        <w:t xml:space="preserve">6.2  软件工作量度量 </w:t>
      </w:r>
      <w:r>
        <w:rPr>
          <w:rFonts w:hint="eastAsia"/>
          <w:color w:val="auto"/>
          <w:sz w:val="21"/>
          <w:szCs w:val="21"/>
          <w:lang w:val="en-US" w:eastAsia="zh-CN"/>
        </w:rPr>
        <w:t>.................................................................7</w:t>
      </w:r>
    </w:p>
    <w:p w14:paraId="0F4961F8">
      <w:pPr>
        <w:pStyle w:val="20"/>
        <w:keepNext w:val="0"/>
        <w:keepLines w:val="0"/>
        <w:pageBreakBefore w:val="0"/>
        <w:tabs>
          <w:tab w:val="right" w:leader="dot" w:pos="9354"/>
          <w:tab w:val="clear" w:pos="9241"/>
        </w:tabs>
        <w:kinsoku/>
        <w:wordWrap/>
        <w:overflowPunct/>
        <w:topLinePunct w:val="0"/>
        <w:bidi w:val="0"/>
        <w:adjustRightInd/>
        <w:snapToGrid/>
        <w:spacing w:beforeLines="0" w:afterLines="0"/>
        <w:ind w:firstLine="420" w:firstLineChars="0"/>
        <w:textAlignment w:val="auto"/>
        <w:rPr>
          <w:color w:val="auto"/>
          <w:sz w:val="21"/>
          <w:szCs w:val="21"/>
        </w:rPr>
      </w:pPr>
      <w:r>
        <w:rPr>
          <w:color w:val="auto"/>
          <w:sz w:val="21"/>
          <w:szCs w:val="21"/>
          <w:lang w:val="en-US" w:eastAsia="zh-CN"/>
        </w:rPr>
        <w:t xml:space="preserve">6.3  软件开发成本度量 </w:t>
      </w:r>
      <w:r>
        <w:rPr>
          <w:rFonts w:hint="eastAsia"/>
          <w:color w:val="auto"/>
          <w:sz w:val="21"/>
          <w:szCs w:val="21"/>
          <w:lang w:val="en-US" w:eastAsia="zh-CN"/>
        </w:rPr>
        <w:t>...............................................................7</w:t>
      </w:r>
    </w:p>
    <w:p w14:paraId="46DC515E">
      <w:pPr>
        <w:keepNext w:val="0"/>
        <w:keepLines w:val="0"/>
        <w:pageBreakBefore w:val="0"/>
        <w:kinsoku/>
        <w:wordWrap/>
        <w:overflowPunct/>
        <w:topLinePunct w:val="0"/>
        <w:bidi w:val="0"/>
        <w:adjustRightInd/>
        <w:snapToGrid/>
        <w:ind w:firstLine="420" w:firstLineChars="0"/>
        <w:textAlignment w:val="auto"/>
        <w:rPr>
          <w:rFonts w:hint="eastAsia"/>
          <w:color w:val="auto"/>
        </w:rPr>
      </w:pPr>
      <w:r>
        <w:rPr>
          <w:rFonts w:ascii="宋体" w:hAnsi="Times New Roman" w:eastAsia="宋体" w:cs="Times New Roman"/>
          <w:color w:val="auto"/>
          <w:kern w:val="2"/>
          <w:sz w:val="21"/>
          <w:szCs w:val="21"/>
          <w:lang w:val="en-US" w:eastAsia="zh-CN" w:bidi="ar-SA"/>
        </w:rPr>
        <w:t>6.</w:t>
      </w:r>
      <w:r>
        <w:rPr>
          <w:rFonts w:hint="eastAsia" w:ascii="宋体" w:hAnsi="Times New Roman" w:eastAsia="宋体" w:cs="Times New Roman"/>
          <w:color w:val="auto"/>
          <w:kern w:val="2"/>
          <w:sz w:val="21"/>
          <w:szCs w:val="21"/>
          <w:lang w:val="en-US" w:eastAsia="zh-CN" w:bidi="ar-SA"/>
        </w:rPr>
        <w:t>4</w:t>
      </w:r>
      <w:r>
        <w:rPr>
          <w:rFonts w:ascii="宋体" w:hAnsi="Times New Roman" w:eastAsia="宋体" w:cs="Times New Roman"/>
          <w:color w:val="auto"/>
          <w:kern w:val="2"/>
          <w:sz w:val="21"/>
          <w:szCs w:val="21"/>
          <w:lang w:val="en-US" w:eastAsia="zh-CN" w:bidi="ar-SA"/>
        </w:rPr>
        <w:t>  度量报告生成</w:t>
      </w:r>
      <w:r>
        <w:rPr>
          <w:rFonts w:hint="eastAsia" w:ascii="宋体" w:hAnsi="Times New Roman" w:eastAsia="宋体" w:cs="Times New Roman"/>
          <w:color w:val="auto"/>
          <w:kern w:val="2"/>
          <w:sz w:val="21"/>
          <w:szCs w:val="21"/>
          <w:lang w:val="en-US" w:eastAsia="zh-CN" w:bidi="ar-SA"/>
        </w:rPr>
        <w:t xml:space="preserve"> ...................................................................</w:t>
      </w:r>
      <w:r>
        <w:rPr>
          <w:rFonts w:hint="eastAsia" w:ascii="宋体" w:cs="Times New Roman"/>
          <w:color w:val="auto"/>
          <w:kern w:val="2"/>
          <w:sz w:val="21"/>
          <w:szCs w:val="21"/>
          <w:lang w:val="en-US" w:eastAsia="zh-CN" w:bidi="ar-SA"/>
        </w:rPr>
        <w:t>8</w:t>
      </w:r>
    </w:p>
    <w:p w14:paraId="404880D2">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Ansi="宋体" w:cs="宋体"/>
          <w:color w:val="auto"/>
        </w:rPr>
      </w:pPr>
      <w:r>
        <w:rPr>
          <w:color w:val="auto"/>
        </w:rPr>
        <w:fldChar w:fldCharType="begin"/>
      </w:r>
      <w:r>
        <w:rPr>
          <w:color w:val="auto"/>
        </w:rPr>
        <w:instrText xml:space="preserve"> HYPERLINK \l "_Toc6250" </w:instrText>
      </w:r>
      <w:r>
        <w:rPr>
          <w:color w:val="auto"/>
        </w:rPr>
        <w:fldChar w:fldCharType="separate"/>
      </w:r>
      <w:r>
        <w:rPr>
          <w:rFonts w:hint="eastAsia" w:hAnsi="宋体" w:cs="宋体"/>
          <w:color w:val="auto"/>
        </w:rPr>
        <w:t>附录A（资料性） 需求说明文档模板</w:t>
      </w:r>
      <w:r>
        <w:rPr>
          <w:rFonts w:hint="eastAsia" w:hAnsi="宋体" w:cs="宋体"/>
          <w:color w:val="auto"/>
        </w:rPr>
        <w:tab/>
      </w:r>
      <w:r>
        <w:rPr>
          <w:rFonts w:hint="eastAsia" w:hAnsi="宋体" w:cs="宋体"/>
          <w:color w:val="auto"/>
          <w:lang w:val="en-US" w:eastAsia="zh-CN"/>
        </w:rPr>
        <w:t>9</w:t>
      </w:r>
      <w:r>
        <w:rPr>
          <w:rFonts w:hint="eastAsia" w:hAnsi="宋体" w:cs="宋体"/>
          <w:color w:val="auto"/>
        </w:rPr>
        <w:fldChar w:fldCharType="end"/>
      </w:r>
    </w:p>
    <w:p w14:paraId="14B7F281">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Ansi="宋体" w:cs="宋体"/>
          <w:color w:val="auto"/>
        </w:rPr>
      </w:pPr>
      <w:r>
        <w:rPr>
          <w:color w:val="auto"/>
        </w:rPr>
        <w:fldChar w:fldCharType="begin"/>
      </w:r>
      <w:r>
        <w:rPr>
          <w:color w:val="auto"/>
        </w:rPr>
        <w:instrText xml:space="preserve"> HYPERLINK \l "_Toc14818" </w:instrText>
      </w:r>
      <w:r>
        <w:rPr>
          <w:color w:val="auto"/>
        </w:rPr>
        <w:fldChar w:fldCharType="separate"/>
      </w:r>
      <w:r>
        <w:rPr>
          <w:rFonts w:hint="eastAsia" w:hAnsi="宋体" w:cs="宋体"/>
          <w:color w:val="auto"/>
        </w:rPr>
        <w:t>附录B（资料性） 功能点规模度量表</w:t>
      </w:r>
      <w:r>
        <w:rPr>
          <w:rFonts w:hint="eastAsia" w:hAnsi="宋体" w:cs="宋体"/>
          <w:color w:val="auto"/>
        </w:rPr>
        <w:tab/>
      </w:r>
      <w:r>
        <w:rPr>
          <w:rFonts w:hint="eastAsia" w:hAnsi="宋体" w:cs="宋体"/>
          <w:color w:val="auto"/>
        </w:rPr>
        <w:t>1</w:t>
      </w:r>
      <w:r>
        <w:rPr>
          <w:rFonts w:hint="eastAsia" w:hAnsi="宋体" w:cs="宋体"/>
          <w:color w:val="auto"/>
        </w:rPr>
        <w:fldChar w:fldCharType="end"/>
      </w:r>
      <w:r>
        <w:rPr>
          <w:rFonts w:hint="eastAsia" w:hAnsi="宋体" w:cs="宋体"/>
          <w:color w:val="auto"/>
        </w:rPr>
        <w:t>2</w:t>
      </w:r>
    </w:p>
    <w:p w14:paraId="7C91DA83">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int="eastAsia" w:hAnsi="宋体" w:eastAsia="宋体" w:cs="宋体"/>
          <w:color w:val="auto"/>
          <w:lang w:eastAsia="zh-CN"/>
        </w:rPr>
      </w:pPr>
      <w:r>
        <w:rPr>
          <w:color w:val="auto"/>
        </w:rPr>
        <w:fldChar w:fldCharType="begin"/>
      </w:r>
      <w:r>
        <w:rPr>
          <w:color w:val="auto"/>
        </w:rPr>
        <w:instrText xml:space="preserve"> HYPERLINK \l "_Toc23857" </w:instrText>
      </w:r>
      <w:r>
        <w:rPr>
          <w:color w:val="auto"/>
        </w:rPr>
        <w:fldChar w:fldCharType="separate"/>
      </w:r>
      <w:r>
        <w:rPr>
          <w:rFonts w:hint="eastAsia" w:hAnsi="宋体" w:cs="宋体"/>
          <w:color w:val="auto"/>
        </w:rPr>
        <w:t>附录C（资料性） 评估报告</w:t>
      </w:r>
      <w:r>
        <w:rPr>
          <w:rFonts w:hint="eastAsia" w:hAnsi="宋体" w:cs="宋体"/>
          <w:color w:val="auto"/>
        </w:rPr>
        <w:tab/>
      </w:r>
      <w:r>
        <w:rPr>
          <w:rFonts w:hint="eastAsia" w:hAnsi="宋体" w:cs="宋体"/>
          <w:color w:val="auto"/>
        </w:rPr>
        <w:t>1</w:t>
      </w:r>
      <w:r>
        <w:rPr>
          <w:rFonts w:hint="eastAsia" w:hAnsi="宋体" w:cs="宋体"/>
          <w:color w:val="auto"/>
        </w:rPr>
        <w:fldChar w:fldCharType="end"/>
      </w:r>
      <w:r>
        <w:rPr>
          <w:rFonts w:hint="eastAsia" w:hAnsi="宋体" w:cs="宋体"/>
          <w:color w:val="auto"/>
          <w:lang w:val="en-US" w:eastAsia="zh-CN"/>
        </w:rPr>
        <w:t>3</w:t>
      </w:r>
    </w:p>
    <w:p w14:paraId="2EFE3D3F">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int="eastAsia" w:hAnsi="宋体" w:eastAsia="宋体" w:cs="宋体"/>
          <w:color w:val="auto"/>
          <w:lang w:eastAsia="zh-CN"/>
        </w:rPr>
      </w:pPr>
      <w:r>
        <w:rPr>
          <w:color w:val="auto"/>
        </w:rPr>
        <w:fldChar w:fldCharType="begin"/>
      </w:r>
      <w:r>
        <w:rPr>
          <w:color w:val="auto"/>
        </w:rPr>
        <w:instrText xml:space="preserve"> HYPERLINK \l "_Toc12688" </w:instrText>
      </w:r>
      <w:r>
        <w:rPr>
          <w:color w:val="auto"/>
        </w:rPr>
        <w:fldChar w:fldCharType="separate"/>
      </w:r>
      <w:r>
        <w:rPr>
          <w:rFonts w:hint="eastAsia" w:hAnsi="宋体" w:cs="宋体"/>
          <w:color w:val="auto"/>
        </w:rPr>
        <w:t>附录D（资料性） 软件开发成本度量过程示例</w:t>
      </w:r>
      <w:r>
        <w:rPr>
          <w:rFonts w:hint="eastAsia" w:hAnsi="宋体" w:cs="宋体"/>
          <w:color w:val="auto"/>
        </w:rPr>
        <w:tab/>
      </w:r>
      <w:r>
        <w:rPr>
          <w:rFonts w:hint="eastAsia" w:hAnsi="宋体" w:cs="宋体"/>
          <w:color w:val="auto"/>
        </w:rPr>
        <w:t>1</w:t>
      </w:r>
      <w:r>
        <w:rPr>
          <w:rFonts w:hint="eastAsia" w:hAnsi="宋体" w:cs="宋体"/>
          <w:color w:val="auto"/>
        </w:rPr>
        <w:fldChar w:fldCharType="end"/>
      </w:r>
      <w:r>
        <w:rPr>
          <w:rFonts w:hint="eastAsia" w:hAnsi="宋体" w:cs="宋体"/>
          <w:color w:val="auto"/>
          <w:lang w:val="en-US" w:eastAsia="zh-CN"/>
        </w:rPr>
        <w:t>7</w:t>
      </w:r>
    </w:p>
    <w:p w14:paraId="78D17DC1">
      <w:pPr>
        <w:pStyle w:val="20"/>
        <w:keepNext w:val="0"/>
        <w:keepLines w:val="0"/>
        <w:pageBreakBefore w:val="0"/>
        <w:tabs>
          <w:tab w:val="right" w:leader="dot" w:pos="9354"/>
          <w:tab w:val="clear" w:pos="9241"/>
        </w:tabs>
        <w:kinsoku/>
        <w:wordWrap/>
        <w:overflowPunct/>
        <w:topLinePunct w:val="0"/>
        <w:bidi w:val="0"/>
        <w:adjustRightInd/>
        <w:snapToGrid/>
        <w:spacing w:beforeLines="0" w:afterLines="0"/>
        <w:textAlignment w:val="auto"/>
        <w:rPr>
          <w:rFonts w:hint="eastAsia" w:hAnsi="宋体" w:eastAsia="宋体" w:cs="宋体"/>
          <w:lang w:eastAsia="zh-CN"/>
        </w:rPr>
      </w:pPr>
      <w:r>
        <w:rPr>
          <w:color w:val="auto"/>
        </w:rPr>
        <w:fldChar w:fldCharType="begin"/>
      </w:r>
      <w:r>
        <w:rPr>
          <w:color w:val="auto"/>
        </w:rPr>
        <w:instrText xml:space="preserve"> HYPERLINK \l "_Toc14654" </w:instrText>
      </w:r>
      <w:r>
        <w:rPr>
          <w:color w:val="auto"/>
        </w:rPr>
        <w:fldChar w:fldCharType="separate"/>
      </w:r>
      <w:r>
        <w:rPr>
          <w:rFonts w:hint="eastAsia" w:hAnsi="宋体" w:cs="宋体"/>
          <w:color w:val="auto"/>
        </w:rPr>
        <w:t>参考文献</w:t>
      </w:r>
      <w:r>
        <w:rPr>
          <w:rFonts w:hint="eastAsia" w:hAnsi="宋体" w:cs="宋体"/>
          <w:color w:val="auto"/>
        </w:rPr>
        <w:tab/>
      </w:r>
      <w:r>
        <w:rPr>
          <w:rFonts w:hint="eastAsia" w:hAnsi="宋体" w:cs="宋体"/>
          <w:color w:val="auto"/>
        </w:rPr>
        <w:t>2</w:t>
      </w:r>
      <w:r>
        <w:rPr>
          <w:rFonts w:hint="eastAsia" w:hAnsi="宋体" w:cs="宋体"/>
          <w:color w:val="auto"/>
        </w:rPr>
        <w:fldChar w:fldCharType="end"/>
      </w:r>
      <w:r>
        <w:rPr>
          <w:rFonts w:hint="eastAsia" w:hAnsi="宋体" w:cs="宋体"/>
          <w:lang w:val="en-US" w:eastAsia="zh-CN"/>
        </w:rPr>
        <w:t>5</w:t>
      </w:r>
    </w:p>
    <w:p w14:paraId="430D756C">
      <w:pPr>
        <w:pStyle w:val="24"/>
        <w:keepNext w:val="0"/>
        <w:keepLines w:val="0"/>
        <w:pageBreakBefore w:val="0"/>
        <w:kinsoku/>
        <w:wordWrap/>
        <w:overflowPunct/>
        <w:topLinePunct w:val="0"/>
        <w:bidi w:val="0"/>
        <w:adjustRightInd/>
        <w:snapToGrid/>
        <w:ind w:left="0" w:leftChars="0" w:firstLine="0" w:firstLineChars="0"/>
        <w:textAlignment w:val="auto"/>
        <w:outlineLvl w:val="9"/>
        <w:rPr>
          <w:rStyle w:val="144"/>
        </w:rPr>
      </w:pPr>
      <w:r>
        <w:fldChar w:fldCharType="end"/>
      </w:r>
    </w:p>
    <w:p w14:paraId="07F2439F">
      <w:pPr>
        <w:pStyle w:val="112"/>
      </w:pPr>
      <w:bookmarkStart w:id="14" w:name="_Toc161770597"/>
      <w:r>
        <w:rPr>
          <w:rFonts w:hint="eastAsia"/>
        </w:rPr>
        <w:t>前</w:t>
      </w:r>
      <w:bookmarkStart w:id="15" w:name="BKQY"/>
      <w:r>
        <w:rPr>
          <w:rFonts w:hAnsi="黑体"/>
        </w:rPr>
        <w:t>  </w:t>
      </w:r>
      <w:r>
        <w:rPr>
          <w:rFonts w:hint="eastAsia"/>
        </w:rPr>
        <w:t>言</w:t>
      </w:r>
      <w:bookmarkEnd w:id="14"/>
      <w:bookmarkEnd w:id="15"/>
    </w:p>
    <w:p w14:paraId="5C7739C0">
      <w:pPr>
        <w:pStyle w:val="24"/>
        <w:rPr>
          <w:color w:val="auto"/>
        </w:rPr>
      </w:pPr>
      <w:bookmarkStart w:id="16" w:name="BZ"/>
      <w:bookmarkEnd w:id="16"/>
      <w:r>
        <w:rPr>
          <w:rFonts w:hint="eastAsia"/>
        </w:rPr>
        <w:t>本文件参照GB/T 1.1—2020《标准化工作导则  第1部分：标准化文件的结构和起草规则》的规定</w:t>
      </w:r>
      <w:r>
        <w:rPr>
          <w:rFonts w:hint="eastAsia"/>
          <w:color w:val="auto"/>
        </w:rPr>
        <w:t>起草。</w:t>
      </w:r>
    </w:p>
    <w:p w14:paraId="05794AD9">
      <w:pPr>
        <w:pStyle w:val="24"/>
        <w:rPr>
          <w:color w:val="auto"/>
        </w:rPr>
      </w:pPr>
      <w:r>
        <w:rPr>
          <w:rFonts w:hint="eastAsia"/>
          <w:color w:val="auto"/>
        </w:rPr>
        <w:t>请注意本文件的某些内容可能涉及专利。本文件的发布机构不承担识别专利的责任。</w:t>
      </w:r>
    </w:p>
    <w:p w14:paraId="1A5F13D8">
      <w:pPr>
        <w:pStyle w:val="24"/>
        <w:rPr>
          <w:color w:val="auto"/>
        </w:rPr>
      </w:pPr>
      <w:r>
        <w:rPr>
          <w:rFonts w:hint="eastAsia"/>
          <w:color w:val="auto"/>
        </w:rPr>
        <w:t>本文件由山东科技咨询协会提出并归口。</w:t>
      </w:r>
    </w:p>
    <w:p w14:paraId="78375EB3">
      <w:pPr>
        <w:pStyle w:val="142"/>
        <w:ind w:firstLine="420"/>
        <w:rPr>
          <w:color w:val="auto"/>
        </w:rPr>
      </w:pPr>
      <w:r>
        <w:rPr>
          <w:rFonts w:hint="eastAsia"/>
          <w:color w:val="auto"/>
        </w:rPr>
        <w:t>本文件起草单位：</w:t>
      </w:r>
      <w:r>
        <w:rPr>
          <w:rFonts w:ascii="Times New Roman"/>
          <w:color w:val="auto"/>
        </w:rPr>
        <w:t>中国移动通信集团设计院有限公司山东分公司、中移</w:t>
      </w:r>
      <w:r>
        <w:rPr>
          <w:rFonts w:hint="eastAsia" w:ascii="Times New Roman"/>
          <w:color w:val="auto"/>
          <w:lang w:val="en-US" w:eastAsia="zh-CN"/>
        </w:rPr>
        <w:t>动</w:t>
      </w:r>
      <w:r>
        <w:rPr>
          <w:rFonts w:ascii="Times New Roman"/>
          <w:color w:val="auto"/>
        </w:rPr>
        <w:t>信息技术有限公司、中国移动通信集团有限公司山东分公司、山东能源集团有限公司、麦哲思科技（北京）有限公司、中国联合水泥集团有限公司、齐鲁空天信息研究院、金祺创（北京）技术有限公司、山东磐元智能科技有限公司、杭州华星创业通信技术股份有限公司、南京华苏科技有限公司、浙江友华工程咨询有限公司、山东中医药大学附属医院、济南公共交通集团有限公司</w:t>
      </w:r>
      <w:r>
        <w:rPr>
          <w:rFonts w:hint="eastAsia" w:ascii="Times New Roman"/>
          <w:color w:val="auto"/>
        </w:rPr>
        <w:t>。</w:t>
      </w:r>
    </w:p>
    <w:p w14:paraId="4445CAC5">
      <w:pPr>
        <w:pStyle w:val="24"/>
        <w:rPr>
          <w:color w:val="auto"/>
        </w:rPr>
      </w:pPr>
      <w:r>
        <w:rPr>
          <w:rFonts w:hint="eastAsia"/>
          <w:color w:val="auto"/>
        </w:rPr>
        <w:t>本文件主要起草人：李方村、张春、王方旭、张建强、马福坛、姜彤彤、张熙、张炎炎、夏倩倩、宋小璇、王星、吴颖、任甲林、盛昊腾、高永成、李河南、徐欣、蔡宪刚、申镇、李奇、范世杰、黄金平、屈振胜、赵翠龙、王旭鹏、傅立海、高超、何伟、陈彬、杜飞、赵洁、王见雷、宋功鹏、马超、张波、陈建新。</w:t>
      </w:r>
    </w:p>
    <w:p w14:paraId="73988089">
      <w:r>
        <w:rPr>
          <w:rFonts w:hint="eastAsia"/>
        </w:rPr>
        <w:br w:type="page"/>
      </w:r>
    </w:p>
    <w:p w14:paraId="4D154781">
      <w:pPr>
        <w:pStyle w:val="112"/>
      </w:pPr>
      <w:r>
        <w:rPr>
          <w:rFonts w:hint="eastAsia" w:hAnsi="黑体"/>
        </w:rPr>
        <w:t>引</w:t>
      </w:r>
      <w:r>
        <w:rPr>
          <w:rFonts w:hAnsi="黑体"/>
        </w:rPr>
        <w:t>  </w:t>
      </w:r>
      <w:r>
        <w:rPr>
          <w:rFonts w:hint="eastAsia"/>
        </w:rPr>
        <w:t>言</w:t>
      </w:r>
    </w:p>
    <w:p w14:paraId="4714D669">
      <w:pPr>
        <w:pStyle w:val="142"/>
        <w:ind w:firstLine="420"/>
        <w:rPr>
          <w:rFonts w:ascii="Times New Roman"/>
        </w:rPr>
      </w:pPr>
      <w:r>
        <w:rPr>
          <w:rFonts w:hint="eastAsia"/>
        </w:rPr>
        <w:t>软件开发成本度量是软件项目管理中至关重要的环节，如何准确、有效地评估软件开发成本，一直是行业内热点问题。现有的软件开发成本度量行业标准和国家标准对成本度量均具备一定指导性，但在实际应用中不同群体间对不同方法的应用存在较大差异。因此，为了规范和指导软件开发成本的度量工作，提高成本估算的准确性和一致性，制定了该技</w:t>
      </w:r>
      <w:r>
        <w:rPr>
          <w:rFonts w:ascii="Times New Roman"/>
        </w:rPr>
        <w:t>术规程。</w:t>
      </w:r>
    </w:p>
    <w:p w14:paraId="601B4FEF">
      <w:pPr>
        <w:pStyle w:val="142"/>
        <w:ind w:firstLine="420"/>
        <w:rPr>
          <w:rFonts w:ascii="Times New Roman"/>
        </w:rPr>
      </w:pPr>
      <w:r>
        <w:rPr>
          <w:rFonts w:ascii="Times New Roman"/>
        </w:rPr>
        <w:t>本规程按照GB/T 1.1—2020《标准化工作导则 第1部分：标准化文件的结构和起草规则》的规定起草。</w:t>
      </w:r>
    </w:p>
    <w:p w14:paraId="7F353506">
      <w:pPr>
        <w:pStyle w:val="142"/>
        <w:ind w:firstLine="420"/>
        <w:rPr>
          <w:rFonts w:ascii="Times New Roman"/>
        </w:rPr>
      </w:pPr>
      <w:r>
        <w:rPr>
          <w:rFonts w:ascii="Times New Roman"/>
        </w:rPr>
        <w:t>本规程旨在为软件开发成本的度量提供一个标准化的方法论，通过明确成本度量的基本原则、过程和方法，帮助企业和组织更有效地进行软件开发项目的成本估算和管理。通过这一规程的实施，提高软件开发的透明度和可预测性，为行业的可持续发展提供有力支持。</w:t>
      </w:r>
    </w:p>
    <w:p w14:paraId="35A4664F">
      <w:pPr>
        <w:pStyle w:val="50"/>
        <w:outlineLvl w:val="9"/>
        <w:sectPr>
          <w:headerReference r:id="rId3" w:type="default"/>
          <w:footerReference r:id="rId4" w:type="default"/>
          <w:pgSz w:w="11906" w:h="16838"/>
          <w:pgMar w:top="567" w:right="1134" w:bottom="1134" w:left="1418" w:header="1418" w:footer="1134" w:gutter="0"/>
          <w:pgNumType w:fmt="upperRoman" w:start="1"/>
          <w:cols w:space="425" w:num="1"/>
          <w:formProt w:val="0"/>
          <w:docGrid w:type="lines" w:linePitch="312" w:charSpace="0"/>
        </w:sectPr>
      </w:pPr>
    </w:p>
    <w:p w14:paraId="4FF18681">
      <w:pPr>
        <w:pStyle w:val="50"/>
      </w:pPr>
      <w:sdt>
        <w:sdtPr>
          <w:alias w:val="标准名称"/>
          <w:tag w:val="标准名称"/>
          <w:id w:val="1795105741"/>
          <w:lock w:val="sdtLocked"/>
          <w:placeholder>
            <w:docPart w:val="111"/>
          </w:placeholder>
          <w:text w:multiLine="1"/>
        </w:sdtPr>
        <w:sdtContent>
          <w:r>
            <w:rPr>
              <w:rFonts w:hint="eastAsia"/>
            </w:rPr>
            <w:t>软件开发成本度量实施技术规程</w:t>
          </w:r>
        </w:sdtContent>
      </w:sdt>
      <w:bookmarkStart w:id="17" w:name="StandardName"/>
      <w:bookmarkEnd w:id="17"/>
    </w:p>
    <w:p w14:paraId="2463BACE">
      <w:pPr>
        <w:pStyle w:val="45"/>
        <w:spacing w:before="312" w:after="312"/>
        <w:outlineLvl w:val="0"/>
      </w:pPr>
      <w:bookmarkStart w:id="18" w:name="_Toc166672633"/>
      <w:bookmarkStart w:id="19" w:name="_Toc8156"/>
      <w:bookmarkStart w:id="20" w:name="_Toc168328398"/>
      <w:bookmarkStart w:id="21" w:name="BKCKWX"/>
      <w:bookmarkStart w:id="22" w:name="_Toc161770612"/>
      <w:r>
        <w:rPr>
          <w:rFonts w:hint="eastAsia"/>
        </w:rPr>
        <w:t>范围</w:t>
      </w:r>
      <w:bookmarkEnd w:id="18"/>
      <w:bookmarkEnd w:id="19"/>
      <w:bookmarkEnd w:id="20"/>
    </w:p>
    <w:p w14:paraId="1A73A9B0">
      <w:pPr>
        <w:pStyle w:val="142"/>
        <w:ind w:firstLine="420"/>
        <w:rPr>
          <w:rFonts w:ascii="Times New Roman"/>
          <w:highlight w:val="yellow"/>
        </w:rPr>
      </w:pPr>
      <w:bookmarkStart w:id="23" w:name="_Toc168328399"/>
      <w:bookmarkStart w:id="24" w:name="_Toc2943"/>
      <w:bookmarkStart w:id="25" w:name="_Toc166672634"/>
      <w:r>
        <w:rPr>
          <w:rFonts w:hint="eastAsia"/>
        </w:rPr>
        <w:t>本文</w:t>
      </w:r>
      <w:r>
        <w:rPr>
          <w:rFonts w:ascii="Times New Roman"/>
        </w:rPr>
        <w:t>件确立了基于COSMIC方法对软件开发中功能性需求进行成本度量工作所应遵循的流程。</w:t>
      </w:r>
    </w:p>
    <w:p w14:paraId="76F610E9">
      <w:pPr>
        <w:pStyle w:val="142"/>
        <w:ind w:firstLine="420"/>
        <w:rPr>
          <w:rFonts w:ascii="Times New Roman"/>
        </w:rPr>
      </w:pPr>
      <w:r>
        <w:rPr>
          <w:rFonts w:ascii="Times New Roman"/>
        </w:rPr>
        <w:t>本文件适用于规范评估方进行软件开发成本度量行为</w:t>
      </w:r>
      <w:r>
        <w:rPr>
          <w:rFonts w:hint="eastAsia" w:ascii="Times New Roman"/>
        </w:rPr>
        <w:t>，</w:t>
      </w:r>
      <w:r>
        <w:rPr>
          <w:rFonts w:ascii="Times New Roman"/>
        </w:rPr>
        <w:t>并为行业主管部门或行业组织对软件开发成本度量工作的开展和管理提供依据</w:t>
      </w:r>
      <w:r>
        <w:rPr>
          <w:rFonts w:hint="eastAsia" w:ascii="Times New Roman"/>
        </w:rPr>
        <w:t>。</w:t>
      </w:r>
      <w:r>
        <w:rPr>
          <w:rFonts w:ascii="Times New Roman"/>
        </w:rPr>
        <w:t>组织内部的软件开发成本度量部门及其他软件开发成本度量专业人员，也可参照本标准开展相关工作。</w:t>
      </w:r>
    </w:p>
    <w:p w14:paraId="5E132288">
      <w:pPr>
        <w:pStyle w:val="142"/>
        <w:ind w:firstLine="420"/>
        <w:rPr>
          <w:rFonts w:ascii="Times New Roman"/>
        </w:rPr>
      </w:pPr>
      <w:r>
        <w:rPr>
          <w:rFonts w:ascii="Times New Roman"/>
        </w:rPr>
        <w:t>本文件适用于</w:t>
      </w:r>
      <w:r>
        <w:rPr>
          <w:rFonts w:hint="eastAsia" w:ascii="Times New Roman"/>
        </w:rPr>
        <w:t>软件开发项目的成本估算、成本管理、验收结算等管理阶段。</w:t>
      </w:r>
    </w:p>
    <w:p w14:paraId="52F19B54">
      <w:pPr>
        <w:pStyle w:val="45"/>
        <w:spacing w:before="312" w:after="312"/>
        <w:outlineLvl w:val="0"/>
        <w:rPr>
          <w:rFonts w:hint="eastAsia"/>
        </w:rPr>
      </w:pPr>
      <w:r>
        <w:rPr>
          <w:rFonts w:hint="eastAsia"/>
        </w:rPr>
        <w:t>规范性引用文件</w:t>
      </w:r>
      <w:bookmarkEnd w:id="23"/>
      <w:bookmarkEnd w:id="24"/>
      <w:bookmarkEnd w:id="25"/>
    </w:p>
    <w:p w14:paraId="63621154">
      <w:pPr>
        <w:pStyle w:val="142"/>
        <w:ind w:firstLine="420"/>
        <w:rPr>
          <w:rFonts w:ascii="Times New Roman"/>
        </w:rPr>
      </w:pPr>
      <w:bookmarkStart w:id="26" w:name="_Toc166672635"/>
      <w:bookmarkStart w:id="27" w:name="_Toc168328400"/>
      <w:bookmarkStart w:id="28" w:name="_Toc20161"/>
      <w:r>
        <w:rPr>
          <w:rFonts w:ascii="Times New Roman"/>
        </w:rPr>
        <w:t>下列文件中的内容通过文中的规范性引用而构成本文件必不可少的条款。其中，注日期的引用文件，仅该日期对应的版本适用于本文件：不注日期的引用文件，其最新版本(包括所有的修改单)适用于本文件。</w:t>
      </w:r>
    </w:p>
    <w:p w14:paraId="59EB4502">
      <w:pPr>
        <w:ind w:firstLine="420"/>
      </w:pPr>
      <w:r>
        <w:t>GB/T 18491.5 信息技术 软件测量 功能规模测量 第5部分：功能规模测量的功能域确定</w:t>
      </w:r>
    </w:p>
    <w:p w14:paraId="04D69031">
      <w:pPr>
        <w:ind w:left="420" w:leftChars="200"/>
      </w:pPr>
      <w:r>
        <w:t>GB/T 18492 信息技术 系统</w:t>
      </w:r>
      <w:r>
        <w:rPr>
          <w:rFonts w:hint="eastAsia"/>
        </w:rPr>
        <w:t>及</w:t>
      </w:r>
      <w:r>
        <w:t>软件完整性级别</w:t>
      </w:r>
    </w:p>
    <w:p w14:paraId="32654303">
      <w:pPr>
        <w:ind w:firstLine="420"/>
        <w:rPr>
          <w:color w:val="auto"/>
        </w:rPr>
      </w:pPr>
      <w:r>
        <w:t>GB/T 25000.10-2016 系统与软件工程 系统与软件质量要求和评价(SQuaRE)第10部分：系统与软</w:t>
      </w:r>
      <w:r>
        <w:rPr>
          <w:color w:val="auto"/>
        </w:rPr>
        <w:t>件质量模型</w:t>
      </w:r>
    </w:p>
    <w:p w14:paraId="61CFDE73">
      <w:pPr>
        <w:ind w:left="420" w:leftChars="200"/>
        <w:rPr>
          <w:color w:val="auto"/>
        </w:rPr>
      </w:pPr>
      <w:r>
        <w:rPr>
          <w:color w:val="auto"/>
        </w:rPr>
        <w:t>GB/T 36964 软件工程 软件开发成本度量规范</w:t>
      </w:r>
    </w:p>
    <w:p w14:paraId="4F8841BF">
      <w:pPr>
        <w:ind w:firstLine="420"/>
        <w:rPr>
          <w:color w:val="auto"/>
          <w:highlight w:val="none"/>
        </w:rPr>
      </w:pPr>
      <w:r>
        <w:rPr>
          <w:color w:val="auto"/>
          <w:highlight w:val="none"/>
        </w:rPr>
        <w:t>GB/T 42452 系统与软件工程 功能规模测量 COSMIC方法</w:t>
      </w:r>
    </w:p>
    <w:p w14:paraId="2A0D9073">
      <w:pPr>
        <w:ind w:firstLine="420"/>
        <w:rPr>
          <w:color w:val="auto"/>
          <w:highlight w:val="none"/>
        </w:rPr>
      </w:pPr>
      <w:r>
        <w:rPr>
          <w:rFonts w:eastAsia="宋体"/>
          <w:color w:val="auto"/>
          <w:highlight w:val="none"/>
        </w:rPr>
        <w:t>CSBMK 中</w:t>
      </w:r>
      <w:r>
        <w:rPr>
          <w:color w:val="auto"/>
          <w:highlight w:val="none"/>
        </w:rPr>
        <w:t>国软件行业基准数据</w:t>
      </w:r>
    </w:p>
    <w:p w14:paraId="6630E08F">
      <w:pPr>
        <w:ind w:firstLine="420"/>
        <w:rPr>
          <w:color w:val="auto"/>
          <w:highlight w:val="none"/>
        </w:rPr>
      </w:pPr>
      <w:r>
        <w:rPr>
          <w:color w:val="auto"/>
          <w:highlight w:val="none"/>
        </w:rPr>
        <w:t>SSM-BK 中国软件行业基准数据报告</w:t>
      </w:r>
    </w:p>
    <w:p w14:paraId="3DFFCE39">
      <w:pPr>
        <w:ind w:firstLine="420"/>
        <w:rPr>
          <w:color w:val="auto"/>
        </w:rPr>
      </w:pPr>
      <w:r>
        <w:rPr>
          <w:color w:val="auto"/>
          <w:highlight w:val="none"/>
        </w:rPr>
        <w:t>ISO 19761 COSMIC度量手册</w:t>
      </w:r>
    </w:p>
    <w:p w14:paraId="7D9A3E6C">
      <w:pPr>
        <w:pStyle w:val="45"/>
        <w:spacing w:before="312" w:after="312"/>
        <w:outlineLvl w:val="0"/>
        <w:rPr>
          <w:color w:val="auto"/>
        </w:rPr>
      </w:pPr>
      <w:r>
        <w:rPr>
          <w:rFonts w:hint="eastAsia"/>
          <w:color w:val="auto"/>
        </w:rPr>
        <w:t>术语和</w:t>
      </w:r>
      <w:r>
        <w:rPr>
          <w:color w:val="auto"/>
        </w:rPr>
        <w:t>定义</w:t>
      </w:r>
      <w:bookmarkEnd w:id="26"/>
      <w:bookmarkEnd w:id="27"/>
      <w:bookmarkEnd w:id="28"/>
    </w:p>
    <w:p w14:paraId="69998384">
      <w:pPr>
        <w:pStyle w:val="24"/>
      </w:pPr>
      <w:r>
        <w:rPr>
          <w:rFonts w:hint="eastAsia"/>
        </w:rPr>
        <w:t>下列术语和定义适用于本文件。</w:t>
      </w:r>
    </w:p>
    <w:p w14:paraId="4334C2BF">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eastAsia="黑体"/>
          <w:lang w:val="en-US" w:eastAsia="zh-CN"/>
        </w:rPr>
      </w:pPr>
      <w:bookmarkStart w:id="29" w:name="_Toc166672636"/>
      <w:bookmarkEnd w:id="29"/>
      <w:r>
        <w:rPr>
          <w:rFonts w:hint="eastAsia"/>
        </w:rPr>
        <w:t>3.</w:t>
      </w:r>
      <w:r>
        <w:rPr>
          <w:rFonts w:hint="eastAsia"/>
          <w:lang w:val="en-US" w:eastAsia="zh-CN"/>
        </w:rPr>
        <w:t>1</w:t>
      </w:r>
    </w:p>
    <w:p w14:paraId="5E49D394">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软件开发成本 software development costs</w:t>
      </w:r>
    </w:p>
    <w:p w14:paraId="0946F1B0">
      <w:pPr>
        <w:pStyle w:val="24"/>
      </w:pPr>
      <w:r>
        <w:rPr>
          <w:rFonts w:hint="eastAsia"/>
        </w:rPr>
        <w:t>为达成软件项目目标开发方所需付出的各种资源代价总和。</w:t>
      </w:r>
    </w:p>
    <w:p w14:paraId="32337A98">
      <w:pPr>
        <w:pStyle w:val="42"/>
        <w:keepNext w:val="0"/>
        <w:keepLines w:val="0"/>
        <w:pageBreakBefore w:val="0"/>
        <w:widowControl/>
        <w:numPr>
          <w:ilvl w:val="0"/>
          <w:numId w:val="0"/>
        </w:numPr>
        <w:kinsoku/>
        <w:wordWrap/>
        <w:overflowPunct/>
        <w:topLinePunct w:val="0"/>
        <w:autoSpaceDE/>
        <w:autoSpaceDN/>
        <w:bidi w:val="0"/>
        <w:adjustRightInd/>
        <w:snapToGrid/>
        <w:textAlignment w:val="auto"/>
      </w:pPr>
      <w:r>
        <w:rPr>
          <w:rFonts w:hint="eastAsia"/>
        </w:rPr>
        <w:t>3.2</w:t>
      </w:r>
    </w:p>
    <w:p w14:paraId="70F52D93">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成本度量 cost measurement</w:t>
      </w:r>
    </w:p>
    <w:p w14:paraId="2E429100">
      <w:pPr>
        <w:pStyle w:val="24"/>
      </w:pPr>
      <w:r>
        <w:t>对软件开发成本的预计值进行估算或对实际值进行测量和分析的过程。</w:t>
      </w:r>
    </w:p>
    <w:p w14:paraId="6245EED5">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3.3</w:t>
      </w:r>
    </w:p>
    <w:p w14:paraId="5FE9F5CC">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功能规模 functional size</w:t>
      </w:r>
    </w:p>
    <w:p w14:paraId="05937A05">
      <w:pPr>
        <w:pStyle w:val="24"/>
      </w:pPr>
      <w:r>
        <w:t>通过量化功能性用户需求得出的软件规模。</w:t>
      </w:r>
    </w:p>
    <w:p w14:paraId="0934B65A">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3.4</w:t>
      </w:r>
    </w:p>
    <w:p w14:paraId="41420287">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委托方 sponsor</w:t>
      </w:r>
    </w:p>
    <w:p w14:paraId="3354734F">
      <w:pPr>
        <w:pStyle w:val="142"/>
        <w:ind w:firstLine="420"/>
        <w:rPr>
          <w:rFonts w:ascii="Times New Roman"/>
        </w:rPr>
      </w:pPr>
      <w:r>
        <w:rPr>
          <w:rFonts w:hint="eastAsia" w:ascii="Times New Roman"/>
        </w:rPr>
        <w:t>软件项目的出资方，或</w:t>
      </w:r>
      <w:r>
        <w:rPr>
          <w:rFonts w:ascii="Times New Roman"/>
        </w:rPr>
        <w:t>需要并获取软件成本度量服务的组织或机构。</w:t>
      </w:r>
    </w:p>
    <w:p w14:paraId="43D82D94">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3.5</w:t>
      </w:r>
    </w:p>
    <w:p w14:paraId="01D5A412">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开发方 developer</w:t>
      </w:r>
    </w:p>
    <w:p w14:paraId="3893C26A">
      <w:pPr>
        <w:pStyle w:val="142"/>
        <w:ind w:firstLine="420"/>
        <w:rPr>
          <w:rFonts w:ascii="Times New Roman"/>
        </w:rPr>
      </w:pPr>
      <w:r>
        <w:rPr>
          <w:rFonts w:ascii="Times New Roman"/>
        </w:rPr>
        <w:t>受委托方委托，负责软件开发的组织或团队。</w:t>
      </w:r>
    </w:p>
    <w:p w14:paraId="68B21C9D">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3.6</w:t>
      </w:r>
    </w:p>
    <w:p w14:paraId="57CCB12E">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评估方 evaluators</w:t>
      </w:r>
    </w:p>
    <w:p w14:paraId="6CE2580F">
      <w:pPr>
        <w:pStyle w:val="142"/>
        <w:ind w:firstLine="420"/>
        <w:rPr>
          <w:rFonts w:ascii="Times New Roman"/>
        </w:rPr>
      </w:pPr>
      <w:r>
        <w:rPr>
          <w:rFonts w:ascii="Times New Roman"/>
        </w:rPr>
        <w:t>受委托方委托，对软件开发成本进行度量的组织或机构。</w:t>
      </w:r>
    </w:p>
    <w:p w14:paraId="0048FDB6">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3.7</w:t>
      </w:r>
    </w:p>
    <w:p w14:paraId="75F67975">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功能用户需求 functional user requirements</w:t>
      </w:r>
    </w:p>
    <w:p w14:paraId="23967BC5">
      <w:pPr>
        <w:pStyle w:val="142"/>
        <w:ind w:firstLine="420"/>
        <w:rPr>
          <w:rFonts w:ascii="Times New Roman"/>
        </w:rPr>
      </w:pPr>
      <w:r>
        <w:rPr>
          <w:rFonts w:ascii="Times New Roman"/>
        </w:rPr>
        <w:t>功能用户需求作为待度量软件功能规模的唯一来源，描述了软件在执行任务和提供服务时所做工作的用户需求子集。</w:t>
      </w:r>
    </w:p>
    <w:p w14:paraId="0A3D1A14">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3.8 </w:t>
      </w:r>
    </w:p>
    <w:p w14:paraId="08B710C9">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COSMIC方法 COSMIC method</w:t>
      </w:r>
    </w:p>
    <w:p w14:paraId="36150A52">
      <w:pPr>
        <w:pStyle w:val="142"/>
        <w:ind w:firstLine="420"/>
        <w:rPr>
          <w:rFonts w:ascii="Times New Roman"/>
        </w:rPr>
      </w:pPr>
      <w:r>
        <w:rPr>
          <w:rFonts w:ascii="Times New Roman"/>
        </w:rPr>
        <w:t>COSMIC方法通过使用一组模型、原则、规则和过程，来度量某给定软件块的功能用户需求。</w:t>
      </w:r>
    </w:p>
    <w:p w14:paraId="618189F1">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3.9 </w:t>
      </w:r>
    </w:p>
    <w:p w14:paraId="3351E340">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rPr>
      </w:pPr>
      <w:r>
        <w:rPr>
          <w:rFonts w:hint="eastAsia" w:ascii="黑体" w:hAnsi="黑体" w:eastAsia="黑体" w:cs="黑体"/>
        </w:rPr>
        <w:t>COSMIC度量单位 COSMIC measurement unit</w:t>
      </w:r>
    </w:p>
    <w:p w14:paraId="69A4C9B3">
      <w:pPr>
        <w:pStyle w:val="142"/>
        <w:ind w:firstLine="420"/>
        <w:rPr>
          <w:rFonts w:ascii="Times New Roman"/>
        </w:rPr>
      </w:pPr>
      <w:r>
        <w:rPr>
          <w:rFonts w:ascii="Times New Roman"/>
        </w:rPr>
        <w:t>1CFP(COSMIC 功能点)，被定义为一个数据移动的规模。</w:t>
      </w:r>
    </w:p>
    <w:p w14:paraId="2C861421">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3.10 </w:t>
      </w:r>
    </w:p>
    <w:p w14:paraId="278F900B">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对等软件块 peer software block</w:t>
      </w:r>
    </w:p>
    <w:p w14:paraId="66C714D6">
      <w:pPr>
        <w:pStyle w:val="142"/>
        <w:ind w:firstLine="420"/>
        <w:rPr>
          <w:rFonts w:ascii="Times New Roman"/>
        </w:rPr>
      </w:pPr>
      <w:r>
        <w:rPr>
          <w:rFonts w:ascii="Times New Roman"/>
        </w:rPr>
        <w:t>处于同一层的软件块，并互相传递数据。</w:t>
      </w:r>
    </w:p>
    <w:p w14:paraId="177CB315">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3.11 </w:t>
      </w:r>
    </w:p>
    <w:p w14:paraId="1F6B4ED6">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sz w:val="21"/>
          <w:szCs w:val="21"/>
        </w:rPr>
      </w:pPr>
      <w:r>
        <w:rPr>
          <w:rFonts w:hint="eastAsia" w:ascii="黑体" w:hAnsi="黑体" w:eastAsia="黑体" w:cs="黑体"/>
          <w:sz w:val="21"/>
          <w:szCs w:val="21"/>
        </w:rPr>
        <w:t>持久存储介质 persistent storage medium</w:t>
      </w:r>
    </w:p>
    <w:p w14:paraId="02561F5D">
      <w:pPr>
        <w:pStyle w:val="142"/>
        <w:ind w:firstLine="420"/>
        <w:rPr>
          <w:rFonts w:ascii="Times New Roman"/>
        </w:rPr>
      </w:pPr>
      <w:r>
        <w:rPr>
          <w:rFonts w:ascii="Times New Roman"/>
        </w:rPr>
        <w:t>使得功能过程在其生命周期结束后仍然能够存储数据组的存储介质，并且/或者，通过该存储介质，功能过程也可以检索数据组，该数据组由另一个功能过程存储，或由同一功能过程之前的事件存储、也可能由某些其他过程存储。</w:t>
      </w:r>
    </w:p>
    <w:p w14:paraId="0BE135C6">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3.12 </w:t>
      </w:r>
    </w:p>
    <w:p w14:paraId="22B93118">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rPr>
      </w:pPr>
      <w:r>
        <w:rPr>
          <w:rFonts w:hint="eastAsia" w:ascii="黑体" w:hAnsi="黑体" w:eastAsia="黑体" w:cs="黑体"/>
        </w:rPr>
        <w:t>功能用户 functional user</w:t>
      </w:r>
    </w:p>
    <w:p w14:paraId="294B3D77">
      <w:pPr>
        <w:pStyle w:val="142"/>
        <w:ind w:firstLine="420"/>
        <w:rPr>
          <w:rFonts w:ascii="Times New Roman"/>
        </w:rPr>
      </w:pPr>
      <w:r>
        <w:rPr>
          <w:rFonts w:ascii="Times New Roman"/>
        </w:rPr>
        <w:t>一段软件的功能性用户需求所定义的用户所涉及的数据发送人员和接收人员。</w:t>
      </w:r>
    </w:p>
    <w:p w14:paraId="7680D785">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3.13 </w:t>
      </w:r>
    </w:p>
    <w:p w14:paraId="45CE77D2">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rPr>
      </w:pPr>
      <w:r>
        <w:rPr>
          <w:rFonts w:hint="eastAsia" w:ascii="黑体" w:hAnsi="黑体" w:eastAsia="黑体" w:cs="黑体"/>
        </w:rPr>
        <w:t>功能过程 functional process</w:t>
      </w:r>
    </w:p>
    <w:p w14:paraId="1A051992">
      <w:pPr>
        <w:pStyle w:val="142"/>
        <w:ind w:firstLine="420"/>
        <w:rPr>
          <w:rFonts w:ascii="Times New Roman"/>
        </w:rPr>
      </w:pPr>
      <w:r>
        <w:rPr>
          <w:rFonts w:ascii="Times New Roman"/>
        </w:rPr>
        <w:t>一系列功能性用户需求的基础部件，包括一个唯一的、紧密相关、可独立执行的一组数据活动。</w:t>
      </w:r>
    </w:p>
    <w:p w14:paraId="1B1F5AB5">
      <w:pPr>
        <w:pStyle w:val="142"/>
        <w:ind w:firstLine="360"/>
        <w:rPr>
          <w:rFonts w:ascii="Times New Roman"/>
        </w:rPr>
      </w:pPr>
      <w:r>
        <w:rPr>
          <w:rFonts w:hint="eastAsia" w:ascii="黑体" w:hAnsi="黑体" w:eastAsia="黑体" w:cs="黑体"/>
          <w:sz w:val="18"/>
          <w:szCs w:val="18"/>
        </w:rPr>
        <w:t>注1：</w:t>
      </w:r>
      <w:r>
        <w:rPr>
          <w:rFonts w:hint="eastAsia" w:hAnsi="宋体" w:cs="宋体"/>
          <w:sz w:val="18"/>
          <w:szCs w:val="18"/>
        </w:rPr>
        <w:t>由功能性用户的数据动(输入)发，通知一段软件的用户已鉴别出发事件。当一段软件的响应触发事件并执行所有需要完成的工作后，该步骤才真正结束。</w:t>
      </w:r>
    </w:p>
    <w:p w14:paraId="1D8D9867">
      <w:pPr>
        <w:pStyle w:val="142"/>
        <w:ind w:firstLine="360"/>
        <w:rPr>
          <w:rFonts w:ascii="Times New Roman"/>
        </w:rPr>
      </w:pPr>
      <w:r>
        <w:rPr>
          <w:rFonts w:ascii="黑体" w:hAnsi="黑体" w:eastAsia="黑体" w:cs="黑体"/>
          <w:sz w:val="18"/>
          <w:szCs w:val="18"/>
        </w:rPr>
        <w:t>注2：</w:t>
      </w:r>
      <w:r>
        <w:rPr>
          <w:rFonts w:hAnsi="宋体" w:cs="宋体"/>
          <w:sz w:val="18"/>
          <w:szCs w:val="18"/>
        </w:rPr>
        <w:t>除了通知一段软件所发生的事件，由事件触发的数据输入可包括事件本身涉及的利益对象。</w:t>
      </w:r>
    </w:p>
    <w:p w14:paraId="67D4B76E">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3.14 </w:t>
      </w:r>
    </w:p>
    <w:p w14:paraId="5591EE4F">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rPr>
      </w:pPr>
      <w:r>
        <w:rPr>
          <w:rFonts w:hint="eastAsia" w:ascii="黑体" w:hAnsi="黑体" w:eastAsia="黑体" w:cs="黑体"/>
        </w:rPr>
        <w:t>子过程 subprocess</w:t>
      </w:r>
    </w:p>
    <w:p w14:paraId="5E1AAFD2">
      <w:pPr>
        <w:pStyle w:val="142"/>
        <w:ind w:firstLine="420"/>
        <w:rPr>
          <w:rFonts w:ascii="Times New Roman"/>
        </w:rPr>
      </w:pPr>
      <w:r>
        <w:rPr>
          <w:rFonts w:ascii="Times New Roman"/>
        </w:rPr>
        <w:t>功能过程的一部分，它可以是数据移动（从功能用户把数据移至或移出到软件，或从软件把数据移至或移出持久存储介质）或者是数据运算。</w:t>
      </w:r>
    </w:p>
    <w:p w14:paraId="7FBA3D05">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3.15 </w:t>
      </w:r>
    </w:p>
    <w:p w14:paraId="27B2C688">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rPr>
      </w:pPr>
      <w:r>
        <w:rPr>
          <w:rFonts w:hint="eastAsia" w:ascii="黑体" w:hAnsi="黑体" w:eastAsia="黑体" w:cs="黑体"/>
        </w:rPr>
        <w:t>数据属性 data attribute</w:t>
      </w:r>
    </w:p>
    <w:p w14:paraId="48913675">
      <w:pPr>
        <w:pStyle w:val="142"/>
        <w:ind w:firstLine="420"/>
        <w:rPr>
          <w:rFonts w:ascii="Times New Roman"/>
        </w:rPr>
      </w:pPr>
      <w:r>
        <w:rPr>
          <w:rFonts w:ascii="Times New Roman"/>
        </w:rPr>
        <w:t>在一个已识别的数据组里从软件功能性用户需求角度来看具有意义的最小信息单元。</w:t>
      </w:r>
    </w:p>
    <w:p w14:paraId="33698AEF">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3.16 </w:t>
      </w:r>
    </w:p>
    <w:p w14:paraId="07151F10">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rPr>
      </w:pPr>
      <w:r>
        <w:rPr>
          <w:rFonts w:hint="eastAsia" w:ascii="黑体" w:hAnsi="黑体" w:eastAsia="黑体" w:cs="黑体"/>
        </w:rPr>
        <w:t>数据组 data group</w:t>
      </w:r>
    </w:p>
    <w:p w14:paraId="4E862AC2">
      <w:pPr>
        <w:pStyle w:val="142"/>
        <w:ind w:firstLine="420"/>
        <w:rPr>
          <w:rFonts w:ascii="Times New Roman"/>
        </w:rPr>
      </w:pPr>
      <w:r>
        <w:rPr>
          <w:rFonts w:ascii="Times New Roman"/>
        </w:rPr>
        <w:t>一个唯一的、非空的、无序的、非冗余的数据属性的集合，其中每个数据属性描述了同一个兴趣对象的一个互补的侧面。</w:t>
      </w:r>
    </w:p>
    <w:p w14:paraId="712366E1">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3.17 </w:t>
      </w:r>
    </w:p>
    <w:p w14:paraId="3BF1D18F">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rPr>
      </w:pPr>
      <w:r>
        <w:rPr>
          <w:rFonts w:hint="eastAsia" w:ascii="黑体" w:hAnsi="黑体" w:eastAsia="黑体" w:cs="黑体"/>
        </w:rPr>
        <w:t>数据运算 data operation</w:t>
      </w:r>
    </w:p>
    <w:p w14:paraId="2610BE16">
      <w:pPr>
        <w:pStyle w:val="142"/>
        <w:ind w:firstLine="420"/>
        <w:rPr>
          <w:rFonts w:ascii="Times New Roman"/>
        </w:rPr>
      </w:pPr>
      <w:r>
        <w:rPr>
          <w:rFonts w:ascii="Times New Roman"/>
        </w:rPr>
        <w:t>除了进/出功能过程的数据移动或在功能过程和持久存储介质之间的数据移动之外，对数据进行的任何处理。</w:t>
      </w:r>
    </w:p>
    <w:p w14:paraId="0AA34C3D">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3.18 </w:t>
      </w:r>
    </w:p>
    <w:p w14:paraId="46CB81CC">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rPr>
      </w:pPr>
      <w:r>
        <w:rPr>
          <w:rFonts w:hint="eastAsia" w:ascii="黑体" w:hAnsi="黑体" w:eastAsia="黑体" w:cs="黑体"/>
        </w:rPr>
        <w:t>数据移动类型 data movement type</w:t>
      </w:r>
    </w:p>
    <w:p w14:paraId="322FB68D">
      <w:pPr>
        <w:pStyle w:val="142"/>
        <w:ind w:firstLine="420"/>
        <w:rPr>
          <w:rFonts w:ascii="Times New Roman"/>
        </w:rPr>
      </w:pPr>
      <w:r>
        <w:rPr>
          <w:rFonts w:ascii="Times New Roman"/>
        </w:rPr>
        <w:t>移动单个数据组的基本功能构件。包含以下4种：</w:t>
      </w:r>
    </w:p>
    <w:p w14:paraId="37927E2F">
      <w:pPr>
        <w:pStyle w:val="142"/>
        <w:ind w:firstLine="420"/>
        <w:rPr>
          <w:rFonts w:ascii="Times New Roman"/>
        </w:rPr>
      </w:pPr>
      <w:r>
        <w:rPr>
          <w:rFonts w:ascii="Times New Roman"/>
        </w:rPr>
        <w:t xml:space="preserve">E 输入类型 </w:t>
      </w:r>
    </w:p>
    <w:p w14:paraId="43A54174">
      <w:pPr>
        <w:pStyle w:val="142"/>
        <w:ind w:firstLine="420"/>
        <w:rPr>
          <w:rFonts w:ascii="Times New Roman"/>
        </w:rPr>
      </w:pPr>
      <w:r>
        <w:rPr>
          <w:rFonts w:ascii="Times New Roman"/>
        </w:rPr>
        <w:t>一种数据移动，将一个数据组从功能用户跨越边界移动到需要它的功能过程。</w:t>
      </w:r>
    </w:p>
    <w:p w14:paraId="4AC0990C">
      <w:pPr>
        <w:pStyle w:val="142"/>
        <w:ind w:firstLine="420"/>
        <w:rPr>
          <w:rFonts w:ascii="Times New Roman"/>
        </w:rPr>
      </w:pPr>
      <w:r>
        <w:rPr>
          <w:rFonts w:ascii="Times New Roman"/>
        </w:rPr>
        <w:t xml:space="preserve">X 输出类型 </w:t>
      </w:r>
    </w:p>
    <w:p w14:paraId="3D0403C5">
      <w:pPr>
        <w:pStyle w:val="142"/>
        <w:ind w:firstLine="420"/>
        <w:rPr>
          <w:rFonts w:ascii="Times New Roman"/>
        </w:rPr>
      </w:pPr>
      <w:r>
        <w:rPr>
          <w:rFonts w:ascii="Times New Roman"/>
        </w:rPr>
        <w:t>一种数据移动，将一个数据组从功能过程侧跨越边界移动给需要它的功能用户。</w:t>
      </w:r>
    </w:p>
    <w:p w14:paraId="04420032">
      <w:pPr>
        <w:pStyle w:val="142"/>
        <w:ind w:firstLine="420"/>
        <w:rPr>
          <w:rFonts w:ascii="Times New Roman"/>
        </w:rPr>
      </w:pPr>
      <w:r>
        <w:rPr>
          <w:rFonts w:ascii="Times New Roman"/>
        </w:rPr>
        <w:t>R 读类型</w:t>
      </w:r>
    </w:p>
    <w:p w14:paraId="6B37D02A">
      <w:pPr>
        <w:pStyle w:val="142"/>
        <w:ind w:firstLine="420"/>
        <w:rPr>
          <w:rFonts w:ascii="Times New Roman"/>
        </w:rPr>
      </w:pPr>
      <w:r>
        <w:rPr>
          <w:rFonts w:ascii="Times New Roman"/>
        </w:rPr>
        <w:t>一种数据移动，将数据组从持久存储介质移动到需要它的功能过程。</w:t>
      </w:r>
    </w:p>
    <w:p w14:paraId="22E68D60">
      <w:pPr>
        <w:pStyle w:val="142"/>
        <w:ind w:firstLine="420"/>
        <w:rPr>
          <w:rFonts w:ascii="Times New Roman"/>
        </w:rPr>
      </w:pPr>
      <w:r>
        <w:rPr>
          <w:rFonts w:ascii="Times New Roman"/>
        </w:rPr>
        <w:t>W 写类型</w:t>
      </w:r>
    </w:p>
    <w:p w14:paraId="407C6676">
      <w:pPr>
        <w:pStyle w:val="142"/>
        <w:ind w:firstLine="420"/>
        <w:rPr>
          <w:rFonts w:ascii="Times New Roman"/>
        </w:rPr>
      </w:pPr>
      <w:r>
        <w:rPr>
          <w:rFonts w:ascii="Times New Roman"/>
        </w:rPr>
        <w:t>一种数据移动，将一个数据组从功能过程内部移动到持久存储介质中。</w:t>
      </w:r>
    </w:p>
    <w:p w14:paraId="05F10931">
      <w:pPr>
        <w:pStyle w:val="42"/>
        <w:keepNext w:val="0"/>
        <w:keepLines w:val="0"/>
        <w:pageBreakBefore w:val="0"/>
        <w:widowControl/>
        <w:numPr>
          <w:ilvl w:val="0"/>
          <w:numId w:val="0"/>
        </w:numPr>
        <w:kinsoku/>
        <w:wordWrap/>
        <w:overflowPunct/>
        <w:topLinePunct w:val="0"/>
        <w:autoSpaceDE/>
        <w:autoSpaceDN/>
        <w:bidi w:val="0"/>
        <w:adjustRightInd/>
        <w:snapToGrid/>
        <w:textAlignment w:val="auto"/>
        <w:rPr>
          <w:rFonts w:hint="eastAsia"/>
        </w:rPr>
      </w:pPr>
      <w:r>
        <w:rPr>
          <w:rFonts w:hint="eastAsia"/>
        </w:rPr>
        <w:t xml:space="preserve">3.19 </w:t>
      </w:r>
    </w:p>
    <w:p w14:paraId="1551F7F3">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黑体" w:hAnsi="黑体" w:eastAsia="黑体" w:cs="黑体"/>
        </w:rPr>
      </w:pPr>
      <w:r>
        <w:rPr>
          <w:rFonts w:hint="eastAsia" w:ascii="黑体" w:hAnsi="黑体" w:eastAsia="黑体" w:cs="黑体"/>
        </w:rPr>
        <w:t>兴趣对象 interrest object</w:t>
      </w:r>
    </w:p>
    <w:p w14:paraId="5FDC578D">
      <w:pPr>
        <w:pStyle w:val="142"/>
        <w:ind w:firstLine="420"/>
      </w:pPr>
      <w:r>
        <w:rPr>
          <w:rFonts w:ascii="Times New Roman"/>
        </w:rPr>
        <w:t>从功能性用户需求角度识别出来的任何事物，且软件要为之处理数据和/或存储数据。</w:t>
      </w:r>
    </w:p>
    <w:p w14:paraId="26510519">
      <w:pPr>
        <w:pStyle w:val="45"/>
        <w:spacing w:before="312" w:after="312"/>
        <w:outlineLvl w:val="0"/>
      </w:pPr>
      <w:r>
        <w:rPr>
          <w:rFonts w:hint="eastAsia"/>
        </w:rPr>
        <w:t>缩略语</w:t>
      </w:r>
    </w:p>
    <w:p w14:paraId="6CC5AE68">
      <w:pPr>
        <w:pStyle w:val="142"/>
        <w:ind w:firstLine="420"/>
        <w:rPr>
          <w:rFonts w:ascii="Times New Roman"/>
        </w:rPr>
      </w:pPr>
      <w:bookmarkStart w:id="30" w:name="_Toc7013"/>
      <w:bookmarkStart w:id="31" w:name="_Toc168328402"/>
      <w:bookmarkStart w:id="32" w:name="_Toc166672639"/>
      <w:r>
        <w:rPr>
          <w:rFonts w:ascii="Times New Roman"/>
        </w:rPr>
        <w:t>下列缩略语适用于本文。</w:t>
      </w:r>
    </w:p>
    <w:bookmarkEnd w:id="30"/>
    <w:bookmarkEnd w:id="31"/>
    <w:bookmarkEnd w:id="32"/>
    <w:p w14:paraId="3691A8FE">
      <w:pPr>
        <w:pStyle w:val="142"/>
        <w:wordWrap w:val="0"/>
        <w:ind w:left="420" w:leftChars="200" w:firstLine="0" w:firstLineChars="0"/>
        <w:rPr>
          <w:rFonts w:hint="eastAsia" w:ascii="Times New Roman"/>
          <w:i w:val="0"/>
          <w:iCs w:val="0"/>
          <w:szCs w:val="21"/>
        </w:rPr>
      </w:pPr>
      <w:r>
        <w:rPr>
          <w:rFonts w:hint="eastAsia" w:ascii="Times New Roman"/>
          <w:i w:val="0"/>
          <w:iCs w:val="0"/>
          <w:szCs w:val="21"/>
        </w:rPr>
        <w:t>AE：</w:t>
      </w:r>
      <w:r>
        <w:rPr>
          <w:rFonts w:ascii="Times New Roman"/>
          <w:i w:val="0"/>
          <w:iCs w:val="0"/>
          <w:szCs w:val="21"/>
        </w:rPr>
        <w:t>软件基准工作量</w:t>
      </w:r>
      <w:r>
        <w:rPr>
          <w:rFonts w:hint="eastAsia" w:ascii="Times New Roman"/>
          <w:i w:val="0"/>
          <w:iCs w:val="0"/>
          <w:szCs w:val="21"/>
        </w:rPr>
        <w:t>（</w:t>
      </w:r>
      <w:r>
        <w:rPr>
          <w:rFonts w:hint="eastAsia" w:ascii="Times New Roman"/>
          <w:i w:val="0"/>
          <w:iCs w:val="0"/>
        </w:rPr>
        <w:t>Application Effort</w:t>
      </w:r>
      <w:r>
        <w:rPr>
          <w:rFonts w:hint="eastAsia" w:ascii="Times New Roman"/>
          <w:i w:val="0"/>
          <w:iCs w:val="0"/>
          <w:szCs w:val="21"/>
        </w:rPr>
        <w:t>）</w:t>
      </w:r>
    </w:p>
    <w:p w14:paraId="0E3F2748">
      <w:pPr>
        <w:pStyle w:val="142"/>
        <w:wordWrap w:val="0"/>
        <w:ind w:left="420" w:leftChars="200" w:firstLine="0" w:firstLineChars="0"/>
        <w:rPr>
          <w:rFonts w:ascii="Times New Roman"/>
          <w:i w:val="0"/>
          <w:iCs w:val="0"/>
        </w:rPr>
      </w:pPr>
      <w:r>
        <w:rPr>
          <w:rFonts w:ascii="Times New Roman"/>
          <w:i w:val="0"/>
          <w:iCs w:val="0"/>
          <w:szCs w:val="21"/>
        </w:rPr>
        <w:t>A</w:t>
      </w:r>
      <w:r>
        <w:rPr>
          <w:rFonts w:hint="eastAsia" w:ascii="Times New Roman"/>
          <w:i w:val="0"/>
          <w:iCs w:val="0"/>
          <w:szCs w:val="21"/>
        </w:rPr>
        <w:t>R：</w:t>
      </w:r>
      <w:r>
        <w:rPr>
          <w:rFonts w:ascii="Times New Roman"/>
          <w:i w:val="0"/>
          <w:iCs w:val="0"/>
          <w:szCs w:val="21"/>
        </w:rPr>
        <w:t>应用领域</w:t>
      </w:r>
      <w:r>
        <w:rPr>
          <w:rFonts w:hint="eastAsia" w:ascii="Times New Roman"/>
          <w:i w:val="0"/>
          <w:iCs w:val="0"/>
        </w:rPr>
        <w:t xml:space="preserve"> (Application Area)</w:t>
      </w:r>
    </w:p>
    <w:p w14:paraId="387C1F05">
      <w:pPr>
        <w:pStyle w:val="142"/>
        <w:wordWrap w:val="0"/>
        <w:ind w:left="420" w:leftChars="200" w:firstLine="0" w:firstLineChars="0"/>
        <w:rPr>
          <w:rFonts w:hint="eastAsia" w:ascii="Times New Roman"/>
          <w:i w:val="0"/>
          <w:iCs w:val="0"/>
        </w:rPr>
      </w:pPr>
      <w:r>
        <w:rPr>
          <w:rFonts w:hint="eastAsia" w:ascii="Times New Roman"/>
          <w:i w:val="0"/>
          <w:iCs w:val="0"/>
          <w:szCs w:val="21"/>
        </w:rPr>
        <w:t>A</w:t>
      </w:r>
      <w:r>
        <w:rPr>
          <w:rFonts w:ascii="Times New Roman"/>
          <w:i w:val="0"/>
          <w:iCs w:val="0"/>
          <w:szCs w:val="21"/>
        </w:rPr>
        <w:t>S</w:t>
      </w:r>
      <w:r>
        <w:rPr>
          <w:rFonts w:hint="eastAsia" w:ascii="Times New Roman"/>
          <w:i w:val="0"/>
          <w:iCs w:val="0"/>
          <w:szCs w:val="21"/>
        </w:rPr>
        <w:t>：</w:t>
      </w:r>
      <w:r>
        <w:rPr>
          <w:rFonts w:ascii="Times New Roman"/>
          <w:i w:val="0"/>
          <w:iCs w:val="0"/>
          <w:szCs w:val="21"/>
        </w:rPr>
        <w:t>调整后</w:t>
      </w:r>
      <w:r>
        <w:rPr>
          <w:rFonts w:hint="eastAsia" w:ascii="Times New Roman"/>
          <w:i w:val="0"/>
          <w:iCs w:val="0"/>
          <w:szCs w:val="21"/>
        </w:rPr>
        <w:t>功能</w:t>
      </w:r>
      <w:r>
        <w:rPr>
          <w:rFonts w:ascii="Times New Roman"/>
          <w:i w:val="0"/>
          <w:iCs w:val="0"/>
          <w:szCs w:val="21"/>
        </w:rPr>
        <w:t>规模</w:t>
      </w:r>
      <w:r>
        <w:rPr>
          <w:rFonts w:hint="eastAsia" w:ascii="Times New Roman"/>
          <w:i w:val="0"/>
          <w:iCs w:val="0"/>
        </w:rPr>
        <w:t xml:space="preserve"> (Adjusted Functional Size)</w:t>
      </w:r>
      <w:r>
        <w:rPr>
          <w:rFonts w:ascii="Times New Roman"/>
          <w:i w:val="0"/>
          <w:iCs w:val="0"/>
        </w:rPr>
        <w:br w:type="textWrapping"/>
      </w:r>
      <w:r>
        <w:rPr>
          <w:rFonts w:ascii="Times New Roman"/>
          <w:i w:val="0"/>
          <w:iCs w:val="0"/>
        </w:rPr>
        <w:t>AT：软件应用类型</w:t>
      </w:r>
      <w:r>
        <w:rPr>
          <w:rFonts w:hint="eastAsia" w:ascii="Times New Roman"/>
          <w:i w:val="0"/>
          <w:iCs w:val="0"/>
        </w:rPr>
        <w:t xml:space="preserve"> ( Application Type)</w:t>
      </w:r>
    </w:p>
    <w:p w14:paraId="088D5525">
      <w:pPr>
        <w:pStyle w:val="142"/>
        <w:ind w:firstLine="420"/>
        <w:rPr>
          <w:rFonts w:ascii="Times New Roman"/>
          <w:i w:val="0"/>
          <w:iCs w:val="0"/>
        </w:rPr>
      </w:pPr>
      <w:r>
        <w:rPr>
          <w:rFonts w:ascii="Times New Roman"/>
          <w:i w:val="0"/>
          <w:iCs w:val="0"/>
        </w:rPr>
        <w:t>CF：规模变更因子</w:t>
      </w:r>
      <w:r>
        <w:rPr>
          <w:rFonts w:hint="eastAsia" w:ascii="Times New Roman"/>
          <w:i w:val="0"/>
          <w:iCs w:val="0"/>
        </w:rPr>
        <w:t xml:space="preserve"> (Change Factor)</w:t>
      </w:r>
    </w:p>
    <w:p w14:paraId="21CE46C4">
      <w:pPr>
        <w:pStyle w:val="142"/>
        <w:ind w:left="420" w:leftChars="200" w:firstLine="0" w:firstLineChars="0"/>
        <w:rPr>
          <w:rFonts w:ascii="Times New Roman"/>
          <w:i w:val="0"/>
          <w:iCs w:val="0"/>
        </w:rPr>
      </w:pPr>
      <w:r>
        <w:rPr>
          <w:rFonts w:ascii="Times New Roman"/>
          <w:i w:val="0"/>
          <w:iCs w:val="0"/>
        </w:rPr>
        <w:t>CFP：COSMIC功能点</w:t>
      </w:r>
      <w:r>
        <w:rPr>
          <w:rFonts w:hint="eastAsia" w:ascii="Times New Roman"/>
          <w:i w:val="0"/>
          <w:iCs w:val="0"/>
        </w:rPr>
        <w:t xml:space="preserve">  (COSMIC Functional Point)</w:t>
      </w:r>
      <w:r>
        <w:rPr>
          <w:rFonts w:hint="eastAsia" w:ascii="Times New Roman"/>
          <w:i w:val="0"/>
          <w:iCs w:val="0"/>
        </w:rPr>
        <w:br w:type="textWrapping"/>
      </w:r>
      <w:r>
        <w:rPr>
          <w:rFonts w:ascii="Times New Roman"/>
          <w:i w:val="0"/>
          <w:iCs w:val="0"/>
        </w:rPr>
        <w:t>C</w:t>
      </w:r>
      <w:r>
        <w:rPr>
          <w:rFonts w:hint="eastAsia" w:ascii="Times New Roman"/>
          <w:i w:val="0"/>
          <w:iCs w:val="0"/>
        </w:rPr>
        <w:t>P</w:t>
      </w:r>
      <w:r>
        <w:rPr>
          <w:rFonts w:ascii="Times New Roman"/>
          <w:i w:val="0"/>
          <w:iCs w:val="0"/>
        </w:rPr>
        <w:t>：生产率</w:t>
      </w:r>
      <w:r>
        <w:rPr>
          <w:rFonts w:hint="eastAsia" w:ascii="Times New Roman"/>
          <w:i w:val="0"/>
          <w:iCs w:val="0"/>
        </w:rPr>
        <w:t xml:space="preserve"> (Coefficient of productivity)</w:t>
      </w:r>
    </w:p>
    <w:p w14:paraId="563F8A42">
      <w:pPr>
        <w:pStyle w:val="142"/>
        <w:wordWrap w:val="0"/>
        <w:ind w:left="420" w:leftChars="200" w:firstLine="0" w:firstLineChars="0"/>
        <w:rPr>
          <w:rFonts w:ascii="Times New Roman"/>
          <w:i w:val="0"/>
          <w:iCs w:val="0"/>
        </w:rPr>
      </w:pPr>
      <w:r>
        <w:rPr>
          <w:rFonts w:hint="eastAsia" w:ascii="Times New Roman"/>
          <w:i w:val="0"/>
          <w:iCs w:val="0"/>
          <w:szCs w:val="21"/>
        </w:rPr>
        <w:t>DNC：</w:t>
      </w:r>
      <w:r>
        <w:rPr>
          <w:rFonts w:ascii="Times New Roman"/>
          <w:i w:val="0"/>
          <w:iCs w:val="0"/>
          <w:szCs w:val="21"/>
        </w:rPr>
        <w:t>直接非人力成本</w:t>
      </w:r>
      <w:r>
        <w:rPr>
          <w:rFonts w:hint="eastAsia" w:ascii="Times New Roman"/>
          <w:i w:val="0"/>
          <w:iCs w:val="0"/>
        </w:rPr>
        <w:t>（Direct Non-labor Costs）</w:t>
      </w:r>
      <w:r>
        <w:rPr>
          <w:rFonts w:hint="eastAsia" w:ascii="Times New Roman"/>
          <w:i w:val="0"/>
          <w:iCs w:val="0"/>
        </w:rPr>
        <w:br w:type="textWrapping"/>
      </w:r>
      <w:r>
        <w:rPr>
          <w:rFonts w:hint="eastAsia" w:ascii="Times New Roman"/>
          <w:i w:val="0"/>
          <w:iCs w:val="0"/>
          <w:szCs w:val="21"/>
        </w:rPr>
        <w:t>D</w:t>
      </w:r>
      <w:r>
        <w:rPr>
          <w:rFonts w:ascii="Times New Roman"/>
          <w:i w:val="0"/>
          <w:iCs w:val="0"/>
          <w:szCs w:val="21"/>
        </w:rPr>
        <w:t>L</w:t>
      </w:r>
      <w:r>
        <w:rPr>
          <w:rFonts w:hint="eastAsia" w:ascii="Times New Roman"/>
          <w:i w:val="0"/>
          <w:iCs w:val="0"/>
          <w:szCs w:val="21"/>
        </w:rPr>
        <w:t>：开发语言</w:t>
      </w:r>
      <w:r>
        <w:rPr>
          <w:rFonts w:hint="eastAsia" w:ascii="Times New Roman"/>
          <w:i w:val="0"/>
          <w:iCs w:val="0"/>
        </w:rPr>
        <w:t xml:space="preserve"> (Developmeng Language)</w:t>
      </w:r>
    </w:p>
    <w:p w14:paraId="20659F37">
      <w:pPr>
        <w:pStyle w:val="142"/>
        <w:wordWrap w:val="0"/>
        <w:ind w:left="420" w:leftChars="200" w:firstLine="0" w:firstLineChars="0"/>
        <w:rPr>
          <w:rFonts w:ascii="Times New Roman"/>
          <w:i w:val="0"/>
          <w:iCs w:val="0"/>
        </w:rPr>
      </w:pPr>
      <w:r>
        <w:rPr>
          <w:rFonts w:hint="eastAsia" w:ascii="Times New Roman"/>
          <w:i w:val="0"/>
          <w:iCs w:val="0"/>
          <w:szCs w:val="21"/>
        </w:rPr>
        <w:t>D</w:t>
      </w:r>
      <w:r>
        <w:rPr>
          <w:rFonts w:ascii="Times New Roman"/>
          <w:i w:val="0"/>
          <w:iCs w:val="0"/>
          <w:szCs w:val="21"/>
        </w:rPr>
        <w:t>T</w:t>
      </w:r>
      <w:r>
        <w:rPr>
          <w:rFonts w:hint="eastAsia" w:ascii="Times New Roman"/>
          <w:i w:val="0"/>
          <w:iCs w:val="0"/>
          <w:szCs w:val="21"/>
        </w:rPr>
        <w:t>：</w:t>
      </w:r>
      <w:r>
        <w:rPr>
          <w:rFonts w:ascii="Times New Roman"/>
          <w:i w:val="0"/>
          <w:iCs w:val="0"/>
          <w:szCs w:val="21"/>
        </w:rPr>
        <w:t>开发团队</w:t>
      </w:r>
      <w:r>
        <w:rPr>
          <w:rFonts w:hint="eastAsia" w:ascii="Times New Roman"/>
          <w:i w:val="0"/>
          <w:iCs w:val="0"/>
        </w:rPr>
        <w:t xml:space="preserve"> (Developmeng Team)</w:t>
      </w:r>
    </w:p>
    <w:p w14:paraId="4351E822">
      <w:pPr>
        <w:pStyle w:val="142"/>
        <w:wordWrap w:val="0"/>
        <w:ind w:left="420" w:leftChars="200" w:firstLine="0" w:firstLineChars="0"/>
        <w:rPr>
          <w:rFonts w:ascii="Times New Roman"/>
          <w:i w:val="0"/>
          <w:iCs w:val="0"/>
        </w:rPr>
      </w:pPr>
      <w:r>
        <w:rPr>
          <w:rFonts w:hint="eastAsia" w:ascii="Times New Roman"/>
          <w:i w:val="0"/>
          <w:iCs w:val="0"/>
          <w:szCs w:val="21"/>
        </w:rPr>
        <w:t>FR：综合人天单价</w:t>
      </w:r>
      <w:r>
        <w:rPr>
          <w:rFonts w:hint="eastAsia" w:ascii="Times New Roman"/>
          <w:i w:val="0"/>
          <w:iCs w:val="0"/>
        </w:rPr>
        <w:t xml:space="preserve"> (Flat Rate)</w:t>
      </w:r>
      <w:r>
        <w:rPr>
          <w:rFonts w:ascii="Times New Roman"/>
          <w:i w:val="0"/>
          <w:iCs w:val="0"/>
        </w:rPr>
        <w:br w:type="textWrapping"/>
      </w:r>
      <w:r>
        <w:rPr>
          <w:rFonts w:ascii="Times New Roman"/>
          <w:i w:val="0"/>
          <w:iCs w:val="0"/>
        </w:rPr>
        <w:t>FUR：功能性用户需求</w:t>
      </w:r>
      <w:r>
        <w:rPr>
          <w:rFonts w:hint="eastAsia" w:ascii="Times New Roman"/>
          <w:i w:val="0"/>
          <w:iCs w:val="0"/>
        </w:rPr>
        <w:t xml:space="preserve"> (Functional User Requirements)</w:t>
      </w:r>
    </w:p>
    <w:p w14:paraId="34A6E3EF">
      <w:pPr>
        <w:pStyle w:val="142"/>
        <w:ind w:firstLine="420"/>
        <w:rPr>
          <w:rFonts w:ascii="Times New Roman"/>
          <w:i w:val="0"/>
          <w:iCs w:val="0"/>
          <w:highlight w:val="yellow"/>
        </w:rPr>
      </w:pPr>
      <w:r>
        <w:rPr>
          <w:rFonts w:ascii="Times New Roman"/>
          <w:i w:val="0"/>
          <w:iCs w:val="0"/>
        </w:rPr>
        <w:t>QR：</w:t>
      </w:r>
      <w:r>
        <w:rPr>
          <w:rFonts w:hint="eastAsia" w:ascii="Times New Roman"/>
          <w:i w:val="0"/>
          <w:iCs w:val="0"/>
        </w:rPr>
        <w:t>质量要求 (Quality Requirement)</w:t>
      </w:r>
    </w:p>
    <w:p w14:paraId="4CFD121B">
      <w:pPr>
        <w:pStyle w:val="142"/>
        <w:wordWrap w:val="0"/>
        <w:ind w:left="420" w:leftChars="200" w:firstLine="0" w:firstLineChars="0"/>
        <w:rPr>
          <w:rFonts w:ascii="Times New Roman"/>
          <w:i w:val="0"/>
          <w:iCs w:val="0"/>
        </w:rPr>
      </w:pPr>
      <w:r>
        <w:rPr>
          <w:rFonts w:hint="eastAsia" w:ascii="Times New Roman"/>
          <w:i w:val="0"/>
          <w:iCs w:val="0"/>
          <w:szCs w:val="21"/>
        </w:rPr>
        <w:t>SDC：软件开发成本</w:t>
      </w:r>
      <w:r>
        <w:rPr>
          <w:rFonts w:hint="eastAsia" w:ascii="Times New Roman"/>
          <w:i w:val="0"/>
          <w:iCs w:val="0"/>
        </w:rPr>
        <w:t>（Software Development Costs）</w:t>
      </w:r>
      <w:r>
        <w:rPr>
          <w:rFonts w:ascii="Times New Roman"/>
          <w:i w:val="0"/>
          <w:iCs w:val="0"/>
        </w:rPr>
        <w:br w:type="textWrapping"/>
      </w:r>
      <w:r>
        <w:rPr>
          <w:rFonts w:ascii="Times New Roman"/>
          <w:i w:val="0"/>
          <w:iCs w:val="0"/>
        </w:rPr>
        <w:t>SF：软件规模</w:t>
      </w:r>
      <w:r>
        <w:rPr>
          <w:rFonts w:hint="eastAsia" w:ascii="Times New Roman"/>
          <w:i w:val="0"/>
          <w:iCs w:val="0"/>
        </w:rPr>
        <w:t xml:space="preserve"> (Software Factor)</w:t>
      </w:r>
    </w:p>
    <w:p w14:paraId="5B81B8D7">
      <w:pPr>
        <w:pStyle w:val="142"/>
        <w:wordWrap w:val="0"/>
        <w:ind w:left="420" w:leftChars="200" w:firstLine="0" w:firstLineChars="0"/>
        <w:rPr>
          <w:rFonts w:ascii="Times New Roman"/>
          <w:i w:val="0"/>
          <w:iCs w:val="0"/>
        </w:rPr>
      </w:pPr>
      <w:r>
        <w:rPr>
          <w:rFonts w:hint="eastAsia" w:ascii="Times New Roman"/>
          <w:i w:val="0"/>
          <w:iCs w:val="0"/>
          <w:szCs w:val="21"/>
        </w:rPr>
        <w:t>SIL</w:t>
      </w:r>
      <w:r>
        <w:rPr>
          <w:rFonts w:ascii="Times New Roman"/>
          <w:i w:val="0"/>
          <w:iCs w:val="0"/>
        </w:rPr>
        <w:t>：</w:t>
      </w:r>
      <w:r>
        <w:rPr>
          <w:rFonts w:ascii="Times New Roman"/>
          <w:i w:val="0"/>
          <w:iCs w:val="0"/>
          <w:szCs w:val="21"/>
        </w:rPr>
        <w:t>软件完整性级</w:t>
      </w:r>
      <w:r>
        <w:rPr>
          <w:rFonts w:hint="eastAsia" w:ascii="Times New Roman"/>
          <w:i w:val="0"/>
          <w:iCs w:val="0"/>
        </w:rPr>
        <w:t>别 (Software Integrity Levels)</w:t>
      </w:r>
    </w:p>
    <w:p w14:paraId="6E6F354E">
      <w:pPr>
        <w:pStyle w:val="45"/>
        <w:spacing w:before="312" w:after="312"/>
        <w:outlineLvl w:val="0"/>
        <w:rPr>
          <w:rFonts w:hAnsi="黑体" w:cs="黑体"/>
          <w:color w:val="auto"/>
        </w:rPr>
      </w:pPr>
      <w:r>
        <w:rPr>
          <w:rFonts w:hint="eastAsia"/>
          <w:color w:val="auto"/>
        </w:rPr>
        <w:t xml:space="preserve">符合性声明 </w:t>
      </w:r>
    </w:p>
    <w:p w14:paraId="7C5938C0">
      <w:pPr>
        <w:pStyle w:val="142"/>
        <w:ind w:firstLine="420"/>
        <w:rPr>
          <w:rFonts w:ascii="Times New Roman"/>
          <w:color w:val="auto"/>
          <w:szCs w:val="21"/>
        </w:rPr>
      </w:pPr>
      <w:r>
        <w:rPr>
          <w:rFonts w:ascii="Times New Roman"/>
          <w:color w:val="auto"/>
          <w:szCs w:val="21"/>
        </w:rPr>
        <w:t>本标准在使用时应满足以下规则：</w:t>
      </w:r>
    </w:p>
    <w:p w14:paraId="013C9D56">
      <w:pPr>
        <w:pStyle w:val="142"/>
        <w:numPr>
          <w:ilvl w:val="5"/>
          <w:numId w:val="18"/>
        </w:numPr>
        <w:tabs>
          <w:tab w:val="left" w:pos="0"/>
          <w:tab w:val="clear" w:pos="2520"/>
        </w:tabs>
        <w:adjustRightInd w:val="0"/>
        <w:snapToGrid w:val="0"/>
        <w:ind w:left="0" w:firstLine="420"/>
        <w:jc w:val="left"/>
        <w:rPr>
          <w:rFonts w:ascii="Times New Roman"/>
          <w:color w:val="auto"/>
          <w:szCs w:val="21"/>
        </w:rPr>
      </w:pPr>
      <w:r>
        <w:rPr>
          <w:rFonts w:ascii="Times New Roman"/>
          <w:color w:val="auto"/>
          <w:szCs w:val="21"/>
        </w:rPr>
        <w:t>在软件工程模式下进行开发的软件项目的成本度量</w:t>
      </w:r>
      <w:r>
        <w:rPr>
          <w:rFonts w:hint="eastAsia" w:ascii="Times New Roman"/>
          <w:color w:val="auto"/>
          <w:szCs w:val="21"/>
        </w:rPr>
        <w:t>；</w:t>
      </w:r>
    </w:p>
    <w:p w14:paraId="4F5DEF70">
      <w:pPr>
        <w:pStyle w:val="142"/>
        <w:numPr>
          <w:ilvl w:val="5"/>
          <w:numId w:val="18"/>
        </w:numPr>
        <w:tabs>
          <w:tab w:val="left" w:pos="0"/>
          <w:tab w:val="clear" w:pos="2520"/>
        </w:tabs>
        <w:adjustRightInd w:val="0"/>
        <w:snapToGrid w:val="0"/>
        <w:ind w:left="0" w:firstLine="420"/>
        <w:jc w:val="left"/>
        <w:rPr>
          <w:rFonts w:ascii="Times New Roman"/>
          <w:color w:val="auto"/>
          <w:szCs w:val="21"/>
        </w:rPr>
      </w:pPr>
      <w:r>
        <w:rPr>
          <w:rFonts w:ascii="Times New Roman"/>
          <w:color w:val="auto"/>
          <w:szCs w:val="21"/>
        </w:rPr>
        <w:t>评估方法应符GB/T 36964、</w:t>
      </w:r>
      <w:r>
        <w:rPr>
          <w:rFonts w:ascii="Times New Roman"/>
          <w:color w:val="auto"/>
        </w:rPr>
        <w:t>GB/T 42452</w:t>
      </w:r>
      <w:r>
        <w:rPr>
          <w:rFonts w:ascii="Times New Roman"/>
          <w:color w:val="auto"/>
          <w:szCs w:val="21"/>
        </w:rPr>
        <w:t>、ISO 19761；</w:t>
      </w:r>
    </w:p>
    <w:p w14:paraId="498CCF85">
      <w:pPr>
        <w:pStyle w:val="142"/>
        <w:numPr>
          <w:ilvl w:val="5"/>
          <w:numId w:val="18"/>
        </w:numPr>
        <w:tabs>
          <w:tab w:val="left" w:pos="0"/>
          <w:tab w:val="clear" w:pos="2520"/>
        </w:tabs>
        <w:adjustRightInd w:val="0"/>
        <w:snapToGrid w:val="0"/>
        <w:ind w:left="0" w:firstLine="420"/>
        <w:jc w:val="left"/>
        <w:rPr>
          <w:rFonts w:ascii="Times New Roman" w:hAnsi="Times New Roman" w:eastAsia="宋体" w:cs="Times New Roman"/>
          <w:color w:val="auto"/>
          <w:szCs w:val="21"/>
        </w:rPr>
      </w:pPr>
      <w:r>
        <w:rPr>
          <w:rFonts w:ascii="Times New Roman" w:hAnsi="Times New Roman" w:eastAsia="宋体" w:cs="Times New Roman"/>
          <w:color w:val="auto"/>
          <w:szCs w:val="21"/>
        </w:rPr>
        <w:t>评估时应参考最新软件行业基准数据。</w:t>
      </w:r>
    </w:p>
    <w:p w14:paraId="6E82E35A">
      <w:pPr>
        <w:pStyle w:val="45"/>
        <w:spacing w:before="312" w:after="312"/>
        <w:outlineLvl w:val="0"/>
        <w:rPr>
          <w:rFonts w:hint="eastAsia"/>
          <w:lang w:val="en-US" w:eastAsia="zh-CN"/>
        </w:rPr>
      </w:pPr>
      <w:r>
        <w:rPr>
          <w:rFonts w:hint="eastAsia"/>
          <w:lang w:val="en-US" w:eastAsia="zh-CN"/>
        </w:rPr>
        <w:t>软件开发成本度量流程</w:t>
      </w:r>
    </w:p>
    <w:p w14:paraId="12D115EA">
      <w:pPr>
        <w:bidi w:val="0"/>
        <w:ind w:firstLine="420" w:firstLineChars="200"/>
        <w:rPr>
          <w:rFonts w:hint="eastAsia"/>
        </w:rPr>
      </w:pPr>
      <w:r>
        <w:rPr>
          <w:rFonts w:hint="eastAsia"/>
        </w:rPr>
        <w:t>软件开发成本度量总体流程见图1。</w:t>
      </w:r>
    </w:p>
    <w:p w14:paraId="17BDE779">
      <w:pPr>
        <w:bidi w:val="0"/>
        <w:jc w:val="center"/>
        <w:rPr>
          <w:rFonts w:hint="eastAsia"/>
        </w:rPr>
      </w:pPr>
      <w:r>
        <w:rPr>
          <w:rFonts w:hint="eastAsia"/>
        </w:rPr>
        <w:drawing>
          <wp:anchor distT="0" distB="0" distL="114300" distR="114300" simplePos="0" relativeHeight="251665408" behindDoc="1" locked="0" layoutInCell="1" allowOverlap="1">
            <wp:simplePos x="0" y="0"/>
            <wp:positionH relativeFrom="column">
              <wp:posOffset>-605790</wp:posOffset>
            </wp:positionH>
            <wp:positionV relativeFrom="paragraph">
              <wp:posOffset>180975</wp:posOffset>
            </wp:positionV>
            <wp:extent cx="6725285" cy="2473960"/>
            <wp:effectExtent l="0" t="0" r="18415" b="2540"/>
            <wp:wrapNone/>
            <wp:docPr id="5" name="图片 5" descr="团标-流程图.drawi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团标-流程图.drawio2"/>
                    <pic:cNvPicPr>
                      <a:picLocks noChangeAspect="1"/>
                    </pic:cNvPicPr>
                  </pic:nvPicPr>
                  <pic:blipFill>
                    <a:blip r:embed="rId7"/>
                    <a:stretch>
                      <a:fillRect/>
                    </a:stretch>
                  </pic:blipFill>
                  <pic:spPr>
                    <a:xfrm>
                      <a:off x="0" y="0"/>
                      <a:ext cx="6725285" cy="2473960"/>
                    </a:xfrm>
                    <a:prstGeom prst="rect">
                      <a:avLst/>
                    </a:prstGeom>
                  </pic:spPr>
                </pic:pic>
              </a:graphicData>
            </a:graphic>
          </wp:anchor>
        </w:drawing>
      </w:r>
      <w:r>
        <w:rPr>
          <w:rFonts w:hint="eastAsia"/>
        </w:rPr>
        <w:br w:type="textWrapping"/>
      </w:r>
    </w:p>
    <w:p w14:paraId="14426FD5">
      <w:pPr>
        <w:bidi w:val="0"/>
        <w:jc w:val="center"/>
        <w:rPr>
          <w:rFonts w:hint="eastAsia"/>
        </w:rPr>
      </w:pPr>
    </w:p>
    <w:p w14:paraId="12EF7058">
      <w:pPr>
        <w:bidi w:val="0"/>
        <w:jc w:val="center"/>
        <w:rPr>
          <w:rFonts w:hint="eastAsia"/>
        </w:rPr>
      </w:pPr>
    </w:p>
    <w:p w14:paraId="066E367C">
      <w:pPr>
        <w:bidi w:val="0"/>
        <w:jc w:val="center"/>
        <w:rPr>
          <w:rFonts w:hint="eastAsia"/>
        </w:rPr>
      </w:pPr>
    </w:p>
    <w:p w14:paraId="1E294D3B">
      <w:pPr>
        <w:bidi w:val="0"/>
        <w:jc w:val="center"/>
        <w:rPr>
          <w:rFonts w:hint="eastAsia"/>
        </w:rPr>
      </w:pPr>
    </w:p>
    <w:p w14:paraId="23ACEFD4">
      <w:pPr>
        <w:bidi w:val="0"/>
        <w:jc w:val="center"/>
        <w:rPr>
          <w:rFonts w:hint="eastAsia"/>
        </w:rPr>
      </w:pPr>
    </w:p>
    <w:p w14:paraId="0E1F27F2">
      <w:pPr>
        <w:bidi w:val="0"/>
        <w:jc w:val="center"/>
        <w:rPr>
          <w:rFonts w:hint="eastAsia"/>
        </w:rPr>
      </w:pPr>
    </w:p>
    <w:p w14:paraId="575B2F5E">
      <w:pPr>
        <w:bidi w:val="0"/>
        <w:jc w:val="center"/>
        <w:rPr>
          <w:rFonts w:hint="eastAsia"/>
        </w:rPr>
      </w:pPr>
    </w:p>
    <w:p w14:paraId="57E55BBA">
      <w:pPr>
        <w:bidi w:val="0"/>
        <w:jc w:val="center"/>
        <w:rPr>
          <w:rFonts w:hint="eastAsia"/>
        </w:rPr>
      </w:pPr>
    </w:p>
    <w:p w14:paraId="509EBA32">
      <w:pPr>
        <w:bidi w:val="0"/>
        <w:jc w:val="center"/>
        <w:rPr>
          <w:rFonts w:hint="eastAsia"/>
        </w:rPr>
      </w:pPr>
    </w:p>
    <w:p w14:paraId="12C8D367">
      <w:pPr>
        <w:bidi w:val="0"/>
        <w:jc w:val="center"/>
        <w:rPr>
          <w:rFonts w:hint="eastAsia"/>
        </w:rPr>
      </w:pPr>
    </w:p>
    <w:p w14:paraId="4DA1BBCD">
      <w:pPr>
        <w:bidi w:val="0"/>
        <w:jc w:val="center"/>
        <w:rPr>
          <w:rFonts w:hint="eastAsia"/>
        </w:rPr>
      </w:pPr>
    </w:p>
    <w:p w14:paraId="10067EBE">
      <w:pPr>
        <w:bidi w:val="0"/>
        <w:jc w:val="center"/>
        <w:rPr>
          <w:rFonts w:hint="eastAsia"/>
        </w:rPr>
      </w:pPr>
    </w:p>
    <w:p w14:paraId="502CC586">
      <w:pPr>
        <w:bidi w:val="0"/>
        <w:jc w:val="center"/>
        <w:rPr>
          <w:rFonts w:hint="eastAsia" w:ascii="黑体" w:hAnsi="黑体" w:eastAsia="黑体" w:cs="黑体"/>
          <w:szCs w:val="21"/>
        </w:rPr>
      </w:pPr>
      <w:r>
        <w:rPr>
          <w:rFonts w:hint="eastAsia" w:ascii="黑体" w:hAnsi="黑体" w:eastAsia="黑体" w:cs="黑体"/>
          <w:kern w:val="0"/>
          <w:sz w:val="21"/>
          <w:szCs w:val="20"/>
          <w:lang w:val="en-US" w:eastAsia="zh-CN" w:bidi="ar-SA"/>
        </w:rPr>
        <w:t>图1 软件开发成本度量总体流程</w:t>
      </w:r>
    </w:p>
    <w:p w14:paraId="03883093">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黑体" w:hAnsi="黑体" w:eastAsia="黑体" w:cs="黑体"/>
          <w:szCs w:val="21"/>
          <w:lang w:val="en-US" w:eastAsia="zh-CN"/>
        </w:rPr>
      </w:pPr>
      <w:r>
        <w:rPr>
          <w:rFonts w:hint="eastAsia" w:ascii="黑体" w:hAnsi="黑体" w:eastAsia="黑体" w:cs="黑体"/>
          <w:szCs w:val="21"/>
          <w:lang w:val="en-US" w:eastAsia="zh-CN"/>
        </w:rPr>
        <w:t>6.</w:t>
      </w:r>
      <w:bookmarkStart w:id="33" w:name="_Toc8773"/>
      <w:r>
        <w:rPr>
          <w:rFonts w:hint="eastAsia" w:ascii="黑体" w:hAnsi="黑体" w:eastAsia="黑体" w:cs="黑体"/>
          <w:szCs w:val="21"/>
          <w:lang w:val="en-US" w:eastAsia="zh-CN"/>
        </w:rPr>
        <w:t>1 软件功能规模度量</w:t>
      </w:r>
      <w:bookmarkEnd w:id="33"/>
    </w:p>
    <w:p w14:paraId="1B6383A4">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黑体" w:hAnsi="黑体" w:eastAsia="黑体" w:cs="黑体"/>
          <w:lang w:val="en-US" w:eastAsia="zh-CN"/>
        </w:rPr>
      </w:pPr>
      <w:r>
        <w:rPr>
          <w:rFonts w:hint="eastAsia" w:ascii="黑体" w:hAnsi="黑体" w:eastAsia="黑体" w:cs="黑体"/>
          <w:lang w:val="en-US" w:eastAsia="zh-CN"/>
        </w:rPr>
        <w:t>6.1.1 规模度量前准备</w:t>
      </w:r>
    </w:p>
    <w:p w14:paraId="7C39D736">
      <w:pPr>
        <w:bidi w:val="0"/>
        <w:rPr>
          <w:rFonts w:hAnsi="宋体" w:cs="宋体"/>
          <w:szCs w:val="21"/>
        </w:rPr>
      </w:pPr>
      <w:r>
        <w:rPr>
          <w:rFonts w:hint="eastAsia" w:ascii="黑体" w:hAnsi="黑体" w:eastAsia="黑体" w:cs="黑体"/>
          <w:lang w:eastAsia="zh-CN"/>
        </w:rPr>
        <w:t>6.1</w:t>
      </w:r>
      <w:r>
        <w:rPr>
          <w:rFonts w:hint="eastAsia" w:ascii="黑体" w:hAnsi="黑体" w:eastAsia="黑体" w:cs="黑体"/>
        </w:rPr>
        <w:t xml:space="preserve">.1.1  </w:t>
      </w:r>
      <w:r>
        <w:rPr>
          <w:rFonts w:hint="eastAsia" w:hAnsi="宋体" w:cs="宋体"/>
          <w:szCs w:val="21"/>
        </w:rPr>
        <w:t>采用COSMIC方法度量软件功能规模，度量活动之前应确认的关键信息包括（但不限于）：</w:t>
      </w:r>
    </w:p>
    <w:p w14:paraId="30A77B0F">
      <w:pPr>
        <w:pStyle w:val="142"/>
        <w:numPr>
          <w:ilvl w:val="0"/>
          <w:numId w:val="19"/>
        </w:numPr>
        <w:ind w:firstLine="420"/>
        <w:rPr>
          <w:rFonts w:hAnsi="宋体" w:cs="宋体"/>
          <w:szCs w:val="21"/>
        </w:rPr>
      </w:pPr>
      <w:r>
        <w:rPr>
          <w:rFonts w:hint="eastAsia" w:hAnsi="宋体" w:cs="宋体"/>
          <w:szCs w:val="21"/>
        </w:rPr>
        <w:t>确认度量目的：通过度量目的确认度量的范围以及度量所需的制品，功能用户，功能变更，项目生命周期度量的时间点，度量的精确度等。</w:t>
      </w:r>
    </w:p>
    <w:p w14:paraId="08D7F647">
      <w:pPr>
        <w:pStyle w:val="142"/>
        <w:numPr>
          <w:ilvl w:val="0"/>
          <w:numId w:val="19"/>
        </w:numPr>
        <w:ind w:firstLine="420"/>
        <w:rPr>
          <w:rFonts w:hAnsi="宋体" w:cs="宋体"/>
          <w:szCs w:val="21"/>
        </w:rPr>
      </w:pPr>
      <w:r>
        <w:rPr>
          <w:rFonts w:hint="eastAsia" w:hAnsi="宋体" w:cs="宋体"/>
          <w:szCs w:val="21"/>
        </w:rPr>
        <w:t>确认度量的范围以及度量所需的制品：一个项目可能需要交付多个软件块，或者要度量的功能可能在某种程度上受到限制。</w:t>
      </w:r>
    </w:p>
    <w:p w14:paraId="0C9CDBEA">
      <w:pPr>
        <w:pStyle w:val="142"/>
        <w:numPr>
          <w:ilvl w:val="0"/>
          <w:numId w:val="19"/>
        </w:numPr>
        <w:ind w:firstLine="420"/>
        <w:rPr>
          <w:rFonts w:hAnsi="宋体" w:cs="宋体"/>
          <w:szCs w:val="21"/>
        </w:rPr>
      </w:pPr>
      <w:r>
        <w:rPr>
          <w:rFonts w:hint="eastAsia" w:hAnsi="宋体" w:cs="宋体"/>
          <w:szCs w:val="21"/>
        </w:rPr>
        <w:t>确认功能用户：这些人或“事物”（硬件设备或其他软件块）是预期的数据发送者或接收者，所要度量的是他们“看到”的功能。</w:t>
      </w:r>
    </w:p>
    <w:p w14:paraId="073D1BC6">
      <w:pPr>
        <w:bidi w:val="0"/>
        <w:rPr>
          <w:rFonts w:hint="eastAsia" w:ascii="黑体" w:hAnsi="黑体" w:eastAsia="黑体" w:cs="黑体"/>
          <w:kern w:val="0"/>
          <w:sz w:val="21"/>
          <w:szCs w:val="20"/>
          <w:lang w:val="en-US" w:eastAsia="zh-CN" w:bidi="ar-SA"/>
        </w:rPr>
      </w:pPr>
      <w:r>
        <w:rPr>
          <w:rFonts w:hint="eastAsia" w:ascii="黑体" w:hAnsi="黑体" w:eastAsia="黑体" w:cs="黑体"/>
          <w:kern w:val="0"/>
          <w:sz w:val="21"/>
          <w:szCs w:val="20"/>
          <w:lang w:val="en-US" w:eastAsia="zh-CN" w:bidi="ar-SA"/>
        </w:rPr>
        <w:t xml:space="preserve">6.1.1.2  </w:t>
      </w:r>
      <w:r>
        <w:rPr>
          <w:rFonts w:hint="eastAsia" w:ascii="宋体" w:hAnsi="宋体" w:eastAsia="宋体" w:cs="宋体"/>
          <w:kern w:val="0"/>
          <w:sz w:val="21"/>
          <w:szCs w:val="21"/>
          <w:lang w:val="en-US" w:eastAsia="zh-CN" w:bidi="ar-SA"/>
        </w:rPr>
        <w:t>度量活动之前应实施的关键活动包括（但不限于）：</w:t>
      </w:r>
    </w:p>
    <w:p w14:paraId="628FD555">
      <w:pPr>
        <w:pStyle w:val="142"/>
        <w:numPr>
          <w:ilvl w:val="0"/>
          <w:numId w:val="20"/>
        </w:numPr>
        <w:ind w:firstLine="420"/>
        <w:rPr>
          <w:rFonts w:hAnsi="宋体" w:cs="宋体"/>
          <w:szCs w:val="21"/>
        </w:rPr>
      </w:pPr>
      <w:r>
        <w:rPr>
          <w:rFonts w:hint="eastAsia" w:hAnsi="宋体" w:cs="宋体"/>
          <w:szCs w:val="21"/>
        </w:rPr>
        <w:t>识别功能性用户需求：功能性用户需求应该作为待度量软件功能规模的唯一来源。</w:t>
      </w:r>
    </w:p>
    <w:p w14:paraId="2D8F7C91">
      <w:pPr>
        <w:pStyle w:val="142"/>
        <w:keepNext w:val="0"/>
        <w:keepLines w:val="0"/>
        <w:pageBreakBefore w:val="0"/>
        <w:widowControl/>
        <w:kinsoku/>
        <w:wordWrap/>
        <w:overflowPunct/>
        <w:topLinePunct w:val="0"/>
        <w:autoSpaceDE w:val="0"/>
        <w:autoSpaceDN w:val="0"/>
        <w:bidi w:val="0"/>
        <w:adjustRightInd/>
        <w:snapToGrid/>
        <w:ind w:firstLine="360"/>
        <w:textAlignment w:val="auto"/>
        <w:rPr>
          <w:rFonts w:hAnsi="宋体" w:cs="宋体"/>
          <w:sz w:val="18"/>
          <w:szCs w:val="18"/>
        </w:rPr>
      </w:pPr>
      <w:r>
        <w:rPr>
          <w:rFonts w:hint="eastAsia" w:ascii="黑体" w:hAnsi="黑体" w:eastAsia="黑体" w:cs="黑体"/>
          <w:sz w:val="18"/>
          <w:szCs w:val="18"/>
        </w:rPr>
        <w:t>注1：</w:t>
      </w:r>
      <w:r>
        <w:rPr>
          <w:rFonts w:hint="eastAsia" w:hAnsi="宋体" w:cs="宋体"/>
          <w:sz w:val="18"/>
          <w:szCs w:val="18"/>
        </w:rPr>
        <w:t>功能性用户需求，已完整定义的用户需求，可用于 COSMIC 功能规模度量，包含但不仅限于数据迁移(例如：输入客户数据、发送控制信号)；数据转换 (例如：计算银行利息，计算平均温度)；数据存储(例如：保存客户订单，记录每次的测量温度)；数据提取(例如：罗列当前员工名单， 获取飞行器位置)。</w:t>
      </w:r>
    </w:p>
    <w:p w14:paraId="2DFD7373">
      <w:pPr>
        <w:pStyle w:val="142"/>
        <w:numPr>
          <w:ilvl w:val="0"/>
          <w:numId w:val="20"/>
        </w:numPr>
        <w:ind w:firstLine="420"/>
        <w:rPr>
          <w:rFonts w:hAnsi="宋体" w:cs="宋体"/>
          <w:szCs w:val="21"/>
        </w:rPr>
      </w:pPr>
      <w:r>
        <w:rPr>
          <w:rFonts w:hint="eastAsia" w:hAnsi="宋体" w:cs="宋体"/>
          <w:szCs w:val="21"/>
        </w:rPr>
        <w:t>识别层：软件的功能组件可能存在于软件操作环境的不同层级中，待度量的软件块的范围不应该跨层。</w:t>
      </w:r>
    </w:p>
    <w:p w14:paraId="4AEE4C25">
      <w:pPr>
        <w:pStyle w:val="142"/>
        <w:numPr>
          <w:ilvl w:val="0"/>
          <w:numId w:val="20"/>
        </w:numPr>
        <w:ind w:firstLine="420"/>
        <w:rPr>
          <w:rFonts w:hAnsi="宋体" w:cs="宋体"/>
          <w:szCs w:val="21"/>
        </w:rPr>
      </w:pPr>
      <w:r>
        <w:rPr>
          <w:rFonts w:hint="eastAsia" w:hAnsi="宋体" w:cs="宋体"/>
          <w:szCs w:val="21"/>
        </w:rPr>
        <w:t>识别功能用户：应该识别所有触发功能过程的功能用户（向功能过程提供信息或从功能过程接收信息），可以是人、设备、对等软件块等。由于持久存储介质处于软件的边界内侧，因此它不应被识别为待度量软件的功能用户。</w:t>
      </w:r>
    </w:p>
    <w:p w14:paraId="260A5BDF">
      <w:pPr>
        <w:pStyle w:val="142"/>
        <w:numPr>
          <w:ilvl w:val="0"/>
          <w:numId w:val="20"/>
        </w:numPr>
        <w:ind w:firstLine="420"/>
        <w:rPr>
          <w:rFonts w:hAnsi="宋体" w:cs="宋体"/>
          <w:szCs w:val="21"/>
        </w:rPr>
      </w:pPr>
      <w:r>
        <w:rPr>
          <w:rFonts w:hint="eastAsia" w:hAnsi="宋体" w:cs="宋体"/>
          <w:szCs w:val="21"/>
        </w:rPr>
        <w:t>识别软件边界：应该识别在FSM范围内的每个层级的每个软件块的边界。</w:t>
      </w:r>
    </w:p>
    <w:p w14:paraId="496CE1EC">
      <w:pPr>
        <w:pStyle w:val="142"/>
        <w:numPr>
          <w:ilvl w:val="0"/>
          <w:numId w:val="20"/>
        </w:numPr>
        <w:ind w:firstLine="420"/>
        <w:rPr>
          <w:rFonts w:hAnsi="宋体" w:cs="宋体"/>
          <w:szCs w:val="21"/>
        </w:rPr>
      </w:pPr>
      <w:r>
        <w:rPr>
          <w:rFonts w:hint="eastAsia" w:hAnsi="宋体" w:cs="宋体"/>
          <w:szCs w:val="21"/>
        </w:rPr>
        <w:t>识别功能过程：识别的每个功能过程应该具备以下特点：</w:t>
      </w:r>
    </w:p>
    <w:p w14:paraId="52802597">
      <w:pPr>
        <w:pStyle w:val="142"/>
        <w:ind w:firstLine="840" w:firstLineChars="400"/>
        <w:rPr>
          <w:rFonts w:hAnsi="宋体" w:cs="宋体"/>
          <w:szCs w:val="21"/>
        </w:rPr>
      </w:pPr>
      <w:r>
        <w:rPr>
          <w:rFonts w:hint="eastAsia" w:hAnsi="宋体" w:cs="宋体"/>
          <w:szCs w:val="21"/>
        </w:rPr>
        <w:t>1）源自至少一个可识别的FUR。</w:t>
      </w:r>
    </w:p>
    <w:p w14:paraId="1911B4D1">
      <w:pPr>
        <w:pStyle w:val="142"/>
        <w:ind w:firstLine="840" w:firstLineChars="400"/>
        <w:rPr>
          <w:rFonts w:hAnsi="宋体" w:cs="宋体"/>
          <w:szCs w:val="21"/>
        </w:rPr>
      </w:pPr>
      <w:r>
        <w:rPr>
          <w:rFonts w:hint="eastAsia" w:hAnsi="宋体" w:cs="宋体"/>
          <w:szCs w:val="21"/>
        </w:rPr>
        <w:t>2）由功能用户的输入数据移动触发，以通知功能过程它已检测到触发事件。</w:t>
      </w:r>
    </w:p>
    <w:p w14:paraId="0975A920">
      <w:pPr>
        <w:pStyle w:val="142"/>
        <w:ind w:firstLine="840" w:firstLineChars="400"/>
        <w:rPr>
          <w:rFonts w:hAnsi="宋体" w:cs="宋体"/>
          <w:szCs w:val="21"/>
        </w:rPr>
      </w:pPr>
      <w:r>
        <w:rPr>
          <w:rFonts w:hint="eastAsia" w:hAnsi="宋体" w:cs="宋体"/>
          <w:szCs w:val="21"/>
        </w:rPr>
        <w:t>3）至少包含两个数据移动，通常是一个输入加一个输出或写。</w:t>
      </w:r>
    </w:p>
    <w:p w14:paraId="5359A37D">
      <w:pPr>
        <w:pStyle w:val="142"/>
        <w:ind w:firstLine="840" w:firstLineChars="400"/>
        <w:rPr>
          <w:rFonts w:hAnsi="宋体" w:cs="宋体"/>
          <w:szCs w:val="21"/>
        </w:rPr>
      </w:pPr>
      <w:r>
        <w:rPr>
          <w:rFonts w:hint="eastAsia" w:hAnsi="宋体" w:cs="宋体"/>
          <w:szCs w:val="21"/>
        </w:rPr>
        <w:t>4）属于且仅属于一个层级。</w:t>
      </w:r>
    </w:p>
    <w:p w14:paraId="483FC7E2">
      <w:pPr>
        <w:pStyle w:val="142"/>
        <w:ind w:firstLine="840" w:firstLineChars="400"/>
        <w:rPr>
          <w:rFonts w:hAnsi="宋体" w:cs="宋体"/>
          <w:szCs w:val="21"/>
        </w:rPr>
      </w:pPr>
      <w:r>
        <w:rPr>
          <w:rFonts w:hint="eastAsia" w:hAnsi="宋体" w:cs="宋体"/>
          <w:szCs w:val="21"/>
        </w:rPr>
        <w:t>5）根据其FUR，当需要达到某个时间点时是已结束的状态。</w:t>
      </w:r>
    </w:p>
    <w:p w14:paraId="74CA5BA3">
      <w:pPr>
        <w:pStyle w:val="142"/>
        <w:keepNext w:val="0"/>
        <w:keepLines w:val="0"/>
        <w:pageBreakBefore w:val="0"/>
        <w:widowControl/>
        <w:kinsoku/>
        <w:wordWrap/>
        <w:overflowPunct/>
        <w:topLinePunct w:val="0"/>
        <w:autoSpaceDE w:val="0"/>
        <w:autoSpaceDN w:val="0"/>
        <w:bidi w:val="0"/>
        <w:adjustRightInd/>
        <w:snapToGrid/>
        <w:ind w:left="357" w:leftChars="170" w:firstLine="0" w:firstLineChars="0"/>
        <w:textAlignment w:val="auto"/>
        <w:rPr>
          <w:rFonts w:hAnsi="宋体" w:cs="宋体"/>
          <w:sz w:val="18"/>
          <w:szCs w:val="18"/>
        </w:rPr>
      </w:pPr>
      <w:r>
        <w:rPr>
          <w:rFonts w:hint="eastAsia" w:ascii="黑体" w:hAnsi="黑体" w:eastAsia="黑体" w:cs="黑体"/>
          <w:sz w:val="18"/>
          <w:szCs w:val="18"/>
        </w:rPr>
        <w:t>注 1：</w:t>
      </w:r>
      <w:r>
        <w:rPr>
          <w:rFonts w:hint="eastAsia" w:hAnsi="宋体" w:cs="宋体"/>
          <w:sz w:val="18"/>
          <w:szCs w:val="18"/>
        </w:rPr>
        <w:t>上述规则 5)澄清为以下内容：所有数据移动的集合需要满足其FUR针对其触发输入所有可能的响应。</w:t>
      </w:r>
      <w:r>
        <w:rPr>
          <w:rFonts w:hint="eastAsia" w:hAnsi="宋体" w:cs="宋体"/>
          <w:sz w:val="18"/>
          <w:szCs w:val="18"/>
        </w:rPr>
        <w:br w:type="textWrapping"/>
      </w:r>
      <w:r>
        <w:rPr>
          <w:rFonts w:hint="eastAsia" w:ascii="黑体" w:hAnsi="黑体" w:eastAsia="黑体" w:cs="黑体"/>
          <w:sz w:val="18"/>
          <w:szCs w:val="18"/>
        </w:rPr>
        <w:t>注 2：</w:t>
      </w:r>
      <w:r>
        <w:rPr>
          <w:rFonts w:hint="eastAsia" w:hAnsi="宋体" w:cs="宋体"/>
          <w:sz w:val="18"/>
          <w:szCs w:val="18"/>
        </w:rPr>
        <w:t>功能过程可能在数据输入之前便已开始处理。如，当人类用户点击一个菜单，显示空白屏幕待输入时。</w:t>
      </w:r>
    </w:p>
    <w:p w14:paraId="3C488043">
      <w:pPr>
        <w:pStyle w:val="142"/>
        <w:keepNext w:val="0"/>
        <w:keepLines w:val="0"/>
        <w:pageBreakBefore w:val="0"/>
        <w:widowControl/>
        <w:kinsoku/>
        <w:wordWrap/>
        <w:overflowPunct/>
        <w:topLinePunct w:val="0"/>
        <w:autoSpaceDE w:val="0"/>
        <w:autoSpaceDN w:val="0"/>
        <w:bidi w:val="0"/>
        <w:adjustRightInd/>
        <w:snapToGrid/>
        <w:ind w:left="0" w:leftChars="0" w:firstLine="360"/>
        <w:textAlignment w:val="auto"/>
        <w:rPr>
          <w:rFonts w:hAnsi="宋体" w:cs="宋体"/>
          <w:i/>
          <w:iCs/>
          <w:sz w:val="18"/>
          <w:szCs w:val="18"/>
        </w:rPr>
      </w:pPr>
      <w:r>
        <w:rPr>
          <w:rFonts w:hint="eastAsia" w:ascii="黑体" w:hAnsi="黑体" w:eastAsia="黑体" w:cs="黑体"/>
          <w:sz w:val="18"/>
          <w:szCs w:val="18"/>
        </w:rPr>
        <w:t>注 3</w:t>
      </w:r>
      <w:r>
        <w:rPr>
          <w:rFonts w:hint="eastAsia" w:hAnsi="宋体" w:cs="宋体"/>
          <w:sz w:val="18"/>
          <w:szCs w:val="18"/>
        </w:rPr>
        <w:t>：在一组 FUR 中，引起功能用户触发功能过程的每一个事件：针对于该组 FUR，无法再进一步细分；要么已经发生，要么尚未发生。</w:t>
      </w:r>
    </w:p>
    <w:p w14:paraId="1F6AA0A0">
      <w:pPr>
        <w:pStyle w:val="142"/>
        <w:numPr>
          <w:ilvl w:val="0"/>
          <w:numId w:val="20"/>
        </w:numPr>
        <w:ind w:firstLine="420"/>
        <w:rPr>
          <w:rFonts w:hAnsi="宋体" w:cs="宋体"/>
          <w:szCs w:val="21"/>
        </w:rPr>
      </w:pPr>
      <w:r>
        <w:rPr>
          <w:rFonts w:hint="eastAsia" w:hAnsi="宋体" w:cs="宋体"/>
          <w:szCs w:val="21"/>
        </w:rPr>
        <w:t>识别兴趣对象及数据组：</w:t>
      </w:r>
    </w:p>
    <w:p w14:paraId="28BA6F67">
      <w:pPr>
        <w:bidi w:val="0"/>
        <w:ind w:firstLine="840" w:firstLineChars="400"/>
      </w:pPr>
      <w:r>
        <w:rPr>
          <w:rFonts w:hint="eastAsia"/>
        </w:rPr>
        <w:t>1）通过其独一无二的数据属性的集合而具有唯一性和可区分性。</w:t>
      </w:r>
    </w:p>
    <w:p w14:paraId="3EFDFBC6">
      <w:pPr>
        <w:bidi w:val="0"/>
        <w:ind w:firstLine="840" w:firstLineChars="400"/>
        <w:rPr>
          <w:rFonts w:hAnsi="宋体" w:cs="宋体"/>
          <w:szCs w:val="21"/>
        </w:rPr>
      </w:pPr>
      <w:r>
        <w:rPr>
          <w:rFonts w:hint="eastAsia"/>
        </w:rPr>
        <w:t>2）直接关联到软件FUR中描述的某个兴趣对象。</w:t>
      </w:r>
      <w:r>
        <w:rPr>
          <w:rFonts w:hint="eastAsia" w:hAnsi="宋体" w:cs="宋体"/>
          <w:szCs w:val="21"/>
        </w:rPr>
        <w:t xml:space="preserve"> </w:t>
      </w:r>
    </w:p>
    <w:p w14:paraId="59DC7E53">
      <w:pPr>
        <w:pStyle w:val="142"/>
        <w:ind w:firstLine="360"/>
        <w:rPr>
          <w:rFonts w:hAnsi="宋体" w:cs="宋体"/>
          <w:sz w:val="18"/>
          <w:szCs w:val="18"/>
        </w:rPr>
      </w:pPr>
      <w:r>
        <w:rPr>
          <w:rFonts w:hint="eastAsia" w:ascii="黑体" w:hAnsi="黑体" w:eastAsia="黑体" w:cs="黑体"/>
          <w:sz w:val="18"/>
          <w:szCs w:val="18"/>
        </w:rPr>
        <w:t>注 1：</w:t>
      </w:r>
      <w:r>
        <w:rPr>
          <w:rFonts w:hint="eastAsia" w:hAnsi="宋体" w:cs="宋体"/>
          <w:sz w:val="18"/>
          <w:szCs w:val="18"/>
        </w:rPr>
        <w:t>兴趣对象可以是任何物理对象，也可以是功能用户世界中</w:t>
      </w:r>
      <w:bookmarkStart w:id="107" w:name="_GoBack"/>
      <w:bookmarkEnd w:id="107"/>
      <w:r>
        <w:rPr>
          <w:rFonts w:hint="eastAsia" w:hAnsi="宋体" w:cs="宋体"/>
          <w:sz w:val="18"/>
          <w:szCs w:val="18"/>
        </w:rPr>
        <w:t xml:space="preserve">的任意概念对象或是概念对象的一部分。 </w:t>
      </w:r>
    </w:p>
    <w:p w14:paraId="2D91CD90">
      <w:pPr>
        <w:pStyle w:val="142"/>
        <w:ind w:firstLine="360"/>
        <w:rPr>
          <w:rFonts w:hAnsi="宋体" w:cs="宋体"/>
          <w:szCs w:val="21"/>
        </w:rPr>
      </w:pPr>
      <w:r>
        <w:rPr>
          <w:rFonts w:hint="eastAsia" w:ascii="黑体" w:hAnsi="黑体" w:eastAsia="黑体" w:cs="黑体"/>
          <w:sz w:val="18"/>
          <w:szCs w:val="18"/>
        </w:rPr>
        <w:t>注 2：</w:t>
      </w:r>
      <w:r>
        <w:rPr>
          <w:rFonts w:hint="eastAsia" w:asciiTheme="minorEastAsia" w:hAnsiTheme="minorEastAsia" w:eastAsiaTheme="minorEastAsia" w:cstheme="minorEastAsia"/>
          <w:sz w:val="18"/>
          <w:szCs w:val="18"/>
        </w:rPr>
        <w:t>“对象”的例</w:t>
      </w:r>
      <w:r>
        <w:rPr>
          <w:rFonts w:hint="eastAsia" w:hAnsi="宋体" w:cs="宋体"/>
          <w:sz w:val="18"/>
          <w:szCs w:val="18"/>
        </w:rPr>
        <w:t>子包括但不局限于，软件应用、人、传感器或其他硬件。</w:t>
      </w:r>
      <w:r>
        <w:rPr>
          <w:rFonts w:hint="eastAsia" w:hAnsi="宋体" w:cs="宋体"/>
          <w:szCs w:val="21"/>
        </w:rPr>
        <w:t xml:space="preserve"> </w:t>
      </w:r>
    </w:p>
    <w:p w14:paraId="65A98B82">
      <w:pPr>
        <w:pStyle w:val="142"/>
        <w:ind w:firstLine="360"/>
        <w:rPr>
          <w:rFonts w:hAnsi="宋体" w:cs="宋体"/>
          <w:sz w:val="18"/>
          <w:szCs w:val="18"/>
        </w:rPr>
      </w:pPr>
      <w:r>
        <w:rPr>
          <w:rFonts w:hint="eastAsia" w:ascii="黑体" w:hAnsi="黑体" w:eastAsia="黑体" w:cs="黑体"/>
          <w:sz w:val="18"/>
          <w:szCs w:val="18"/>
        </w:rPr>
        <w:t>注 3：</w:t>
      </w:r>
      <w:r>
        <w:rPr>
          <w:rFonts w:hint="eastAsia" w:hAnsi="宋体" w:cs="宋体"/>
          <w:sz w:val="18"/>
          <w:szCs w:val="18"/>
        </w:rPr>
        <w:t>在 COSMIC 方法中，采用“兴趣对象”术语，以避免与特定的软件工程方法混淆。该术语并不意味着等于面向对象方法中的“对象”。类似地，由于在数据建模中使用了“实体”，此处也避免使用该术语。</w:t>
      </w:r>
    </w:p>
    <w:p w14:paraId="5980DC04">
      <w:pPr>
        <w:pStyle w:val="142"/>
        <w:numPr>
          <w:ilvl w:val="0"/>
          <w:numId w:val="0"/>
        </w:numPr>
        <w:ind w:firstLine="360" w:firstLineChars="200"/>
        <w:rPr>
          <w:rFonts w:hAnsi="宋体" w:cs="宋体"/>
          <w:szCs w:val="21"/>
        </w:rPr>
      </w:pPr>
      <w:r>
        <w:rPr>
          <w:rFonts w:hint="eastAsia" w:ascii="黑体" w:hAnsi="黑体" w:eastAsia="黑体" w:cs="黑体"/>
          <w:sz w:val="18"/>
          <w:szCs w:val="18"/>
        </w:rPr>
        <w:t>注 4：</w:t>
      </w:r>
      <w:r>
        <w:rPr>
          <w:rFonts w:hint="eastAsia" w:hAnsi="宋体" w:cs="宋体"/>
          <w:sz w:val="18"/>
          <w:szCs w:val="18"/>
        </w:rPr>
        <w:t>功能过程内部的常量或变量，或计算过程的中间结果，或是由功能过程直接从实现结果得到而不是从FUR中得到而存储的数据，都不是数据组。</w:t>
      </w:r>
    </w:p>
    <w:p w14:paraId="0C6F8DC3">
      <w:pPr>
        <w:pStyle w:val="142"/>
        <w:keepNext w:val="0"/>
        <w:keepLines w:val="0"/>
        <w:pageBreakBefore w:val="0"/>
        <w:widowControl/>
        <w:numPr>
          <w:ilvl w:val="0"/>
          <w:numId w:val="20"/>
        </w:numPr>
        <w:kinsoku/>
        <w:wordWrap/>
        <w:overflowPunct/>
        <w:topLinePunct w:val="0"/>
        <w:autoSpaceDE w:val="0"/>
        <w:autoSpaceDN w:val="0"/>
        <w:bidi w:val="0"/>
        <w:adjustRightInd/>
        <w:snapToGrid/>
        <w:spacing w:before="157" w:beforeLines="50" w:after="157" w:afterLines="50"/>
        <w:ind w:firstLine="420"/>
        <w:jc w:val="left"/>
        <w:textAlignment w:val="auto"/>
        <w:rPr>
          <w:rFonts w:ascii="黑体" w:hAnsi="黑体" w:eastAsia="黑体" w:cs="黑体"/>
          <w:szCs w:val="21"/>
        </w:rPr>
      </w:pPr>
      <w:r>
        <w:rPr>
          <w:rFonts w:hint="eastAsia" w:ascii="宋体" w:hAnsi="宋体" w:eastAsia="宋体" w:cs="宋体"/>
          <w:szCs w:val="21"/>
          <w:lang w:val="en-US" w:eastAsia="zh-CN"/>
        </w:rPr>
        <w:t>识别数</w:t>
      </w:r>
      <w:r>
        <w:rPr>
          <w:rFonts w:hint="eastAsia" w:hAnsi="宋体" w:cs="宋体"/>
          <w:szCs w:val="21"/>
          <w:lang w:val="en-US" w:eastAsia="zh-CN"/>
        </w:rPr>
        <w:t>据移动</w:t>
      </w:r>
      <w:r>
        <w:rPr>
          <w:rFonts w:hint="eastAsia" w:hAnsi="宋体" w:cs="宋体"/>
          <w:szCs w:val="21"/>
        </w:rPr>
        <w:t>：此步骤包括识别每个功能过程的数据移动（输入、输出、读、写），每个数据移动应分配一个测量单位（CFP）。图2展示了四个数据移动类型之间的总体关系，它们所属的功能过程以及待度量软件的边界。</w:t>
      </w:r>
      <w:r>
        <w:rPr>
          <w:rFonts w:hint="eastAsia" w:ascii="Times New Roman"/>
          <w:szCs w:val="21"/>
        </w:rPr>
        <w:br w:type="textWrapping"/>
      </w:r>
      <w:r>
        <w:rPr>
          <w:rFonts w:hint="eastAsia" w:ascii="Times New Roman"/>
          <w:szCs w:val="21"/>
        </w:rPr>
        <w:t xml:space="preserve">         </w:t>
      </w:r>
      <w:r>
        <w:drawing>
          <wp:inline distT="0" distB="0" distL="114300" distR="114300">
            <wp:extent cx="4423410" cy="2796540"/>
            <wp:effectExtent l="0" t="0" r="15240" b="381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8"/>
                    <a:stretch>
                      <a:fillRect/>
                    </a:stretch>
                  </pic:blipFill>
                  <pic:spPr>
                    <a:xfrm>
                      <a:off x="0" y="0"/>
                      <a:ext cx="4423410" cy="2796540"/>
                    </a:xfrm>
                    <a:prstGeom prst="rect">
                      <a:avLst/>
                    </a:prstGeom>
                    <a:noFill/>
                    <a:ln>
                      <a:noFill/>
                    </a:ln>
                  </pic:spPr>
                </pic:pic>
              </a:graphicData>
            </a:graphic>
          </wp:inline>
        </w:drawing>
      </w:r>
      <w:r>
        <w:br w:type="textWrapping"/>
      </w:r>
      <w:r>
        <w:rPr>
          <w:rFonts w:hint="eastAsia"/>
        </w:rPr>
        <w:t xml:space="preserve">     </w:t>
      </w:r>
      <w:r>
        <w:rPr>
          <w:rFonts w:hint="eastAsia"/>
          <w:lang w:val="en-US" w:eastAsia="zh-CN"/>
        </w:rPr>
        <w:t xml:space="preserve">             </w:t>
      </w:r>
      <w:r>
        <w:rPr>
          <w:rFonts w:hint="eastAsia" w:ascii="黑体" w:hAnsi="黑体" w:eastAsia="黑体" w:cs="黑体"/>
        </w:rPr>
        <w:t>图2  四种数据移动类型以及它们与功能过程的关系</w:t>
      </w:r>
    </w:p>
    <w:p w14:paraId="32DEAA47">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黑体" w:hAnsi="黑体" w:eastAsia="黑体" w:cs="黑体"/>
          <w:lang w:val="en-US" w:eastAsia="zh-CN"/>
        </w:rPr>
      </w:pPr>
      <w:r>
        <w:rPr>
          <w:rFonts w:hint="eastAsia" w:ascii="黑体" w:hAnsi="黑体" w:eastAsia="黑体" w:cs="黑体"/>
          <w:lang w:val="en-US" w:eastAsia="zh-CN"/>
        </w:rPr>
        <w:t>6.1.2 功能规模度量</w:t>
      </w:r>
    </w:p>
    <w:p w14:paraId="06AEE07F">
      <w:pPr>
        <w:pStyle w:val="142"/>
        <w:ind w:firstLine="0" w:firstLineChars="0"/>
        <w:rPr>
          <w:rFonts w:ascii="Times New Roman"/>
          <w:szCs w:val="21"/>
        </w:rPr>
      </w:pPr>
      <w:r>
        <w:rPr>
          <w:rFonts w:hint="eastAsia" w:ascii="黑体" w:hAnsi="黑体" w:eastAsia="黑体" w:cs="黑体"/>
          <w:szCs w:val="21"/>
          <w:lang w:eastAsia="zh-CN"/>
        </w:rPr>
        <w:t>6.1</w:t>
      </w:r>
      <w:r>
        <w:rPr>
          <w:rFonts w:hint="eastAsia" w:ascii="黑体" w:hAnsi="黑体" w:eastAsia="黑体" w:cs="黑体"/>
          <w:szCs w:val="21"/>
        </w:rPr>
        <w:t xml:space="preserve">.2.1  </w:t>
      </w:r>
      <w:r>
        <w:rPr>
          <w:rFonts w:ascii="Times New Roman"/>
          <w:szCs w:val="21"/>
        </w:rPr>
        <w:t>对于在某一功能过程中的所识别的数据移动，应该通过以下方式得到该功能过程的规模：</w:t>
      </w:r>
    </w:p>
    <w:p w14:paraId="75D7996E">
      <w:pPr>
        <w:bidi w:val="0"/>
        <w:ind w:firstLine="420" w:firstLineChars="0"/>
        <w:rPr>
          <w:rFonts w:hint="eastAsia"/>
        </w:rPr>
      </w:pPr>
      <w:r>
        <w:rPr>
          <w:rFonts w:hint="eastAsia"/>
        </w:rPr>
        <w:t>1) 每个数据移动类型的数量乘以其规模单位；</w:t>
      </w:r>
    </w:p>
    <w:p w14:paraId="2D265A6E">
      <w:pPr>
        <w:bidi w:val="0"/>
        <w:ind w:firstLine="420" w:firstLineChars="0"/>
        <w:rPr>
          <w:rFonts w:hint="eastAsia"/>
        </w:rPr>
      </w:pPr>
      <w:r>
        <w:rPr>
          <w:rFonts w:hint="eastAsia"/>
        </w:rPr>
        <w:t>2) 把 1)得到的结果累加，即为功能过程的规模。</w:t>
      </w:r>
    </w:p>
    <w:p w14:paraId="63B0F235">
      <w:pPr>
        <w:pStyle w:val="142"/>
        <w:ind w:firstLine="420"/>
        <w:rPr>
          <w:rFonts w:ascii="Times New Roman"/>
          <w:i/>
          <w:iCs/>
          <w:color w:val="FF0000"/>
          <w:szCs w:val="21"/>
        </w:rPr>
      </w:pPr>
      <w:r>
        <w:rPr>
          <w:rFonts w:ascii="Times New Roman"/>
          <w:i/>
          <w:iCs/>
          <w:szCs w:val="21"/>
        </w:rPr>
        <w:t>CFP</w:t>
      </w:r>
      <w:r>
        <w:rPr>
          <w:rFonts w:ascii="Times New Roman"/>
          <w:i w:val="0"/>
          <w:iCs w:val="0"/>
          <w:szCs w:val="21"/>
        </w:rPr>
        <w:t>规模（功能过程）</w:t>
      </w:r>
      <w:r>
        <w:rPr>
          <w:rFonts w:ascii="Times New Roman"/>
          <w:i/>
          <w:iCs/>
          <w:szCs w:val="21"/>
        </w:rPr>
        <w:t xml:space="preserve">=Σ </w:t>
      </w:r>
      <w:r>
        <w:rPr>
          <w:rFonts w:ascii="Times New Roman"/>
          <w:i w:val="0"/>
          <w:iCs w:val="0"/>
          <w:szCs w:val="21"/>
        </w:rPr>
        <w:t>规模(输入)</w:t>
      </w:r>
      <w:r>
        <w:rPr>
          <w:rFonts w:ascii="Times New Roman"/>
          <w:i/>
          <w:iCs/>
          <w:szCs w:val="21"/>
        </w:rPr>
        <w:t xml:space="preserve"> + Σ </w:t>
      </w:r>
      <w:r>
        <w:rPr>
          <w:rFonts w:ascii="Times New Roman"/>
          <w:i w:val="0"/>
          <w:iCs w:val="0"/>
          <w:szCs w:val="21"/>
        </w:rPr>
        <w:t xml:space="preserve">规模(输出) </w:t>
      </w:r>
      <w:r>
        <w:rPr>
          <w:rFonts w:ascii="Times New Roman"/>
          <w:i/>
          <w:iCs/>
          <w:szCs w:val="21"/>
        </w:rPr>
        <w:t xml:space="preserve">+ Σ </w:t>
      </w:r>
      <w:r>
        <w:rPr>
          <w:rFonts w:ascii="Times New Roman"/>
          <w:i w:val="0"/>
          <w:iCs w:val="0"/>
          <w:szCs w:val="21"/>
        </w:rPr>
        <w:t xml:space="preserve">规模(读) </w:t>
      </w:r>
      <w:r>
        <w:rPr>
          <w:rFonts w:ascii="Times New Roman"/>
          <w:i/>
          <w:iCs/>
          <w:szCs w:val="21"/>
        </w:rPr>
        <w:t xml:space="preserve">+ Σ </w:t>
      </w:r>
      <w:r>
        <w:rPr>
          <w:rFonts w:ascii="Times New Roman"/>
          <w:i w:val="0"/>
          <w:iCs w:val="0"/>
          <w:szCs w:val="21"/>
        </w:rPr>
        <w:t>规模(写 )</w:t>
      </w:r>
      <w:r>
        <w:rPr>
          <w:rFonts w:hint="eastAsia" w:ascii="Times New Roman"/>
          <w:i/>
          <w:iCs/>
          <w:szCs w:val="21"/>
        </w:rPr>
        <w:t xml:space="preserve"> </w:t>
      </w:r>
      <w:r>
        <w:rPr>
          <w:rFonts w:ascii="Times New Roman"/>
          <w:i/>
          <w:iCs/>
          <w:szCs w:val="21"/>
        </w:rPr>
        <w:t>...........</w:t>
      </w:r>
      <w:r>
        <w:rPr>
          <w:rFonts w:hint="eastAsia" w:ascii="Times New Roman"/>
          <w:i/>
          <w:iCs/>
          <w:szCs w:val="21"/>
        </w:rPr>
        <w:t>..........</w:t>
      </w:r>
      <w:r>
        <w:rPr>
          <w:rFonts w:hint="eastAsia" w:asciiTheme="minorEastAsia" w:hAnsiTheme="minorEastAsia" w:eastAsiaTheme="minorEastAsia" w:cstheme="minorEastAsia"/>
          <w:i w:val="0"/>
          <w:iCs w:val="0"/>
          <w:szCs w:val="21"/>
        </w:rPr>
        <w:t>（1）</w:t>
      </w:r>
    </w:p>
    <w:p w14:paraId="48AB3FB1">
      <w:pPr>
        <w:pStyle w:val="142"/>
        <w:ind w:firstLine="0" w:firstLineChars="0"/>
        <w:rPr>
          <w:rFonts w:ascii="Times New Roman"/>
          <w:szCs w:val="21"/>
        </w:rPr>
      </w:pPr>
      <w:r>
        <w:rPr>
          <w:rFonts w:hint="eastAsia" w:ascii="黑体" w:hAnsi="黑体" w:eastAsia="黑体" w:cs="黑体"/>
          <w:szCs w:val="21"/>
          <w:lang w:eastAsia="zh-CN"/>
        </w:rPr>
        <w:t>6.1</w:t>
      </w:r>
      <w:r>
        <w:rPr>
          <w:rFonts w:hint="eastAsia" w:ascii="黑体" w:hAnsi="黑体" w:eastAsia="黑体" w:cs="黑体"/>
          <w:szCs w:val="21"/>
        </w:rPr>
        <w:t xml:space="preserve">.2.2  </w:t>
      </w:r>
      <w:r>
        <w:rPr>
          <w:rFonts w:ascii="Times New Roman"/>
          <w:szCs w:val="21"/>
        </w:rPr>
        <w:t>在同一层中，对于度量范围内的软件块的 FUR 的变更规模，应该是功能过程中增加、修改、删除的数据移动的规模的汇总，包括以下关键信息的确认：</w:t>
      </w:r>
    </w:p>
    <w:p w14:paraId="1BA39012">
      <w:pPr>
        <w:bidi w:val="0"/>
        <w:ind w:firstLine="420" w:firstLineChars="0"/>
        <w:rPr>
          <w:rFonts w:hint="eastAsia"/>
        </w:rPr>
      </w:pPr>
      <w:r>
        <w:rPr>
          <w:rFonts w:hint="eastAsia"/>
          <w:lang w:val="en-US" w:eastAsia="zh-CN"/>
        </w:rPr>
        <w:t xml:space="preserve">1) </w:t>
      </w:r>
      <w:r>
        <w:rPr>
          <w:rFonts w:hint="eastAsia"/>
        </w:rPr>
        <w:t>新增数据移动数量：每个新增数据移动计为1CFP。</w:t>
      </w:r>
    </w:p>
    <w:p w14:paraId="68EEACC4">
      <w:pPr>
        <w:bidi w:val="0"/>
        <w:ind w:firstLine="420" w:firstLineChars="0"/>
        <w:rPr>
          <w:rFonts w:hint="eastAsia"/>
        </w:rPr>
      </w:pPr>
      <w:r>
        <w:rPr>
          <w:rFonts w:hint="eastAsia"/>
          <w:lang w:val="en-US" w:eastAsia="zh-CN"/>
        </w:rPr>
        <w:t xml:space="preserve">2) </w:t>
      </w:r>
      <w:r>
        <w:rPr>
          <w:rFonts w:hint="eastAsia"/>
        </w:rPr>
        <w:t>变更的数据移动数量：如果某数据组的属性发生了变更，或者与数据移动关联的数据运算发生了变更，则认为该数据组对应的数据移动发生了变更。</w:t>
      </w:r>
    </w:p>
    <w:p w14:paraId="214755A8">
      <w:pPr>
        <w:bidi w:val="0"/>
        <w:ind w:firstLine="420" w:firstLineChars="0"/>
        <w:rPr>
          <w:rFonts w:hint="eastAsia"/>
        </w:rPr>
      </w:pPr>
      <w:r>
        <w:rPr>
          <w:rFonts w:hint="eastAsia"/>
          <w:lang w:val="en-US" w:eastAsia="zh-CN"/>
        </w:rPr>
        <w:t xml:space="preserve">3) </w:t>
      </w:r>
      <w:r>
        <w:rPr>
          <w:rFonts w:hint="eastAsia"/>
        </w:rPr>
        <w:t>删除的数据移动数量：每个删除的数据移动类型记为1CFP。</w:t>
      </w:r>
    </w:p>
    <w:p w14:paraId="1B0663A5">
      <w:pPr>
        <w:pStyle w:val="142"/>
        <w:ind w:firstLine="0" w:firstLineChars="0"/>
        <w:rPr>
          <w:rFonts w:ascii="Times New Roman"/>
          <w:szCs w:val="21"/>
        </w:rPr>
      </w:pPr>
      <w:r>
        <w:rPr>
          <w:rFonts w:hint="eastAsia" w:ascii="黑体" w:hAnsi="黑体" w:eastAsia="黑体" w:cs="黑体"/>
          <w:szCs w:val="21"/>
          <w:lang w:eastAsia="zh-CN"/>
        </w:rPr>
        <w:t>6.1</w:t>
      </w:r>
      <w:r>
        <w:rPr>
          <w:rFonts w:hint="eastAsia" w:ascii="黑体" w:hAnsi="黑体" w:eastAsia="黑体" w:cs="黑体"/>
          <w:szCs w:val="21"/>
        </w:rPr>
        <w:t xml:space="preserve">.2.3  </w:t>
      </w:r>
      <w:r>
        <w:rPr>
          <w:rFonts w:ascii="Times New Roman"/>
          <w:szCs w:val="21"/>
        </w:rPr>
        <w:t>软件块的总规模采用以下公式计算：</w:t>
      </w:r>
    </w:p>
    <w:p w14:paraId="22E25D91">
      <w:pPr>
        <w:pStyle w:val="142"/>
        <w:ind w:firstLine="420"/>
        <w:rPr>
          <w:rFonts w:ascii="Times New Roman"/>
          <w:i/>
          <w:iCs/>
          <w:szCs w:val="21"/>
        </w:rPr>
      </w:pPr>
      <w:r>
        <w:rPr>
          <w:rFonts w:hint="eastAsia" w:ascii="Times New Roman"/>
          <w:i/>
          <w:iCs/>
          <w:color w:val="FF0000"/>
          <w:szCs w:val="21"/>
        </w:rPr>
        <w:tab/>
      </w:r>
      <w:r>
        <w:rPr>
          <w:rFonts w:ascii="Times New Roman"/>
          <w:i/>
          <w:iCs/>
          <w:szCs w:val="21"/>
        </w:rPr>
        <w:t>CFP</w:t>
      </w:r>
      <w:r>
        <w:rPr>
          <w:rFonts w:hint="eastAsia" w:asciiTheme="minorEastAsia" w:hAnsiTheme="minorEastAsia" w:eastAsiaTheme="minorEastAsia" w:cstheme="minorEastAsia"/>
          <w:i w:val="0"/>
          <w:iCs w:val="0"/>
          <w:szCs w:val="21"/>
        </w:rPr>
        <w:t>规模 (软件块的总规模)</w:t>
      </w:r>
      <w:r>
        <w:rPr>
          <w:rFonts w:ascii="Times New Roman"/>
          <w:i/>
          <w:iCs/>
          <w:szCs w:val="21"/>
        </w:rPr>
        <w:t xml:space="preserve"> = Σ </w:t>
      </w:r>
      <w:r>
        <w:rPr>
          <w:rFonts w:hint="eastAsia" w:asciiTheme="minorEastAsia" w:hAnsiTheme="minorEastAsia" w:eastAsiaTheme="minorEastAsia" w:cstheme="minorEastAsia"/>
          <w:i w:val="0"/>
          <w:iCs w:val="0"/>
          <w:szCs w:val="21"/>
        </w:rPr>
        <w:t xml:space="preserve">规模 (增加的数据移动) </w:t>
      </w:r>
    </w:p>
    <w:p w14:paraId="693126AE">
      <w:pPr>
        <w:pStyle w:val="142"/>
        <w:ind w:firstLine="420"/>
        <w:rPr>
          <w:rFonts w:ascii="Times New Roman"/>
          <w:i/>
          <w:iCs/>
          <w:szCs w:val="21"/>
        </w:rPr>
      </w:pP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ascii="Times New Roman"/>
          <w:i/>
          <w:iCs/>
          <w:szCs w:val="21"/>
        </w:rPr>
        <w:t xml:space="preserve">+ Σ </w:t>
      </w:r>
      <w:r>
        <w:rPr>
          <w:rFonts w:hint="eastAsia" w:asciiTheme="minorEastAsia" w:hAnsiTheme="minorEastAsia" w:eastAsiaTheme="minorEastAsia" w:cstheme="minorEastAsia"/>
          <w:i w:val="0"/>
          <w:iCs w:val="0"/>
          <w:szCs w:val="21"/>
        </w:rPr>
        <w:t>规模 (变更的数据移动)</w:t>
      </w:r>
    </w:p>
    <w:p w14:paraId="5AFF6E31">
      <w:pPr>
        <w:pStyle w:val="142"/>
        <w:ind w:firstLine="420"/>
        <w:rPr>
          <w:rFonts w:ascii="黑体" w:hAnsi="黑体" w:eastAsia="黑体" w:cs="黑体"/>
          <w:szCs w:val="21"/>
        </w:rPr>
      </w:pP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hint="eastAsia" w:ascii="Times New Roman"/>
          <w:i/>
          <w:iCs/>
          <w:szCs w:val="21"/>
        </w:rPr>
        <w:tab/>
      </w:r>
      <w:r>
        <w:rPr>
          <w:rFonts w:ascii="Times New Roman"/>
          <w:i/>
          <w:iCs/>
          <w:szCs w:val="21"/>
        </w:rPr>
        <w:t xml:space="preserve"> + Σ </w:t>
      </w:r>
      <w:r>
        <w:rPr>
          <w:rFonts w:hint="eastAsia" w:asciiTheme="minorEastAsia" w:hAnsiTheme="minorEastAsia" w:eastAsiaTheme="minorEastAsia" w:cstheme="minorEastAsia"/>
          <w:i w:val="0"/>
          <w:iCs w:val="0"/>
          <w:szCs w:val="21"/>
        </w:rPr>
        <w:t xml:space="preserve">规模 (删除的数据移动)  </w:t>
      </w:r>
      <w:r>
        <w:rPr>
          <w:rFonts w:hint="eastAsia" w:ascii="Times New Roman"/>
          <w:i/>
          <w:iCs/>
          <w:szCs w:val="21"/>
        </w:rPr>
        <w:t xml:space="preserve">  </w:t>
      </w:r>
      <w:r>
        <w:rPr>
          <w:rFonts w:hint="eastAsia" w:ascii="Times New Roman"/>
          <w:i/>
          <w:iCs/>
          <w:color w:val="FF0000"/>
          <w:szCs w:val="21"/>
        </w:rPr>
        <w:t xml:space="preserve">         </w:t>
      </w:r>
      <w:r>
        <w:rPr>
          <w:rFonts w:ascii="Times New Roman"/>
          <w:i/>
          <w:iCs/>
          <w:szCs w:val="21"/>
        </w:rPr>
        <w:t>...........</w:t>
      </w:r>
      <w:r>
        <w:rPr>
          <w:rFonts w:hint="eastAsia" w:ascii="Times New Roman"/>
          <w:i/>
          <w:iCs/>
          <w:szCs w:val="21"/>
        </w:rPr>
        <w:t>..........</w:t>
      </w:r>
      <w:r>
        <w:rPr>
          <w:rFonts w:hint="eastAsia" w:asciiTheme="minorEastAsia" w:hAnsiTheme="minorEastAsia" w:eastAsiaTheme="minorEastAsia" w:cstheme="minorEastAsia"/>
          <w:i w:val="0"/>
          <w:iCs w:val="0"/>
          <w:szCs w:val="21"/>
        </w:rPr>
        <w:t>（2）</w:t>
      </w:r>
      <w:r>
        <w:rPr>
          <w:rFonts w:ascii="Times New Roman"/>
          <w:i w:val="0"/>
          <w:iCs w:val="0"/>
          <w:color w:val="FF0000"/>
          <w:szCs w:val="21"/>
        </w:rPr>
        <w:br w:type="textWrapping"/>
      </w:r>
      <w:r>
        <w:rPr>
          <w:rFonts w:hint="eastAsia" w:ascii="黑体" w:hAnsi="黑体" w:eastAsia="黑体" w:cs="黑体"/>
          <w:kern w:val="2"/>
          <w:sz w:val="21"/>
          <w:szCs w:val="24"/>
          <w:lang w:val="en-US" w:eastAsia="zh-CN" w:bidi="ar-SA"/>
        </w:rPr>
        <w:t>6.1.3 功能规模调整</w:t>
      </w:r>
    </w:p>
    <w:p w14:paraId="542D2982">
      <w:pPr>
        <w:pStyle w:val="142"/>
        <w:ind w:firstLine="0" w:firstLineChars="0"/>
        <w:rPr>
          <w:rFonts w:ascii="Times New Roman"/>
          <w:szCs w:val="21"/>
        </w:rPr>
      </w:pPr>
      <w:r>
        <w:rPr>
          <w:rFonts w:hint="eastAsia" w:ascii="黑体" w:hAnsi="黑体" w:eastAsia="黑体" w:cs="黑体"/>
          <w:szCs w:val="21"/>
          <w:lang w:eastAsia="zh-CN"/>
        </w:rPr>
        <w:t>6.</w:t>
      </w:r>
      <w:r>
        <w:rPr>
          <w:rFonts w:hint="eastAsia" w:ascii="黑体" w:hAnsi="黑体" w:eastAsia="黑体" w:cs="黑体"/>
          <w:lang w:val="en-US" w:eastAsia="zh-CN"/>
        </w:rPr>
        <w:t>1.3</w:t>
      </w:r>
      <w:r>
        <w:rPr>
          <w:rFonts w:hint="eastAsia" w:ascii="黑体" w:hAnsi="黑体" w:eastAsia="黑体" w:cs="黑体"/>
          <w:szCs w:val="21"/>
        </w:rPr>
        <w:t xml:space="preserve">.1  </w:t>
      </w:r>
      <w:r>
        <w:rPr>
          <w:rFonts w:ascii="Times New Roman"/>
          <w:szCs w:val="21"/>
        </w:rPr>
        <w:t>在功能规模度量时,应考虑可能的需求变更程度,并利用规模变更因子对规模估算结果进行调整，规模变更因子与度量的阶段相关。</w:t>
      </w:r>
    </w:p>
    <w:p w14:paraId="45ED00FF">
      <w:pPr>
        <w:pStyle w:val="142"/>
        <w:ind w:firstLine="0" w:firstLineChars="0"/>
        <w:rPr>
          <w:rFonts w:ascii="Times New Roman"/>
          <w:szCs w:val="21"/>
        </w:rPr>
      </w:pPr>
      <w:r>
        <w:rPr>
          <w:rFonts w:hint="eastAsia" w:ascii="黑体" w:hAnsi="黑体" w:eastAsia="黑体" w:cs="黑体"/>
          <w:szCs w:val="21"/>
          <w:lang w:eastAsia="zh-CN"/>
        </w:rPr>
        <w:t>6.</w:t>
      </w:r>
      <w:r>
        <w:rPr>
          <w:rFonts w:hint="eastAsia" w:ascii="黑体" w:hAnsi="黑体" w:eastAsia="黑体" w:cs="黑体"/>
          <w:lang w:val="en-US" w:eastAsia="zh-CN"/>
        </w:rPr>
        <w:t>1.3</w:t>
      </w:r>
      <w:r>
        <w:rPr>
          <w:rFonts w:hint="eastAsia" w:ascii="黑体" w:hAnsi="黑体" w:eastAsia="黑体" w:cs="黑体"/>
          <w:szCs w:val="21"/>
        </w:rPr>
        <w:t xml:space="preserve">.2  </w:t>
      </w:r>
      <w:r>
        <w:rPr>
          <w:rFonts w:ascii="Times New Roman"/>
          <w:szCs w:val="21"/>
        </w:rPr>
        <w:t>可通过度量目的应用于项目的哪个阶段确定度量阶段，如：预算、招投标、项目计划、变更管理、结算/决算/后评价。</w:t>
      </w:r>
    </w:p>
    <w:p w14:paraId="5BEC5C8F">
      <w:pPr>
        <w:pStyle w:val="142"/>
        <w:ind w:firstLine="0" w:firstLineChars="0"/>
        <w:rPr>
          <w:rFonts w:ascii="Times New Roman"/>
          <w:szCs w:val="21"/>
        </w:rPr>
      </w:pPr>
      <w:r>
        <w:rPr>
          <w:rFonts w:hint="eastAsia" w:ascii="黑体" w:hAnsi="黑体" w:eastAsia="黑体" w:cs="黑体"/>
          <w:szCs w:val="21"/>
          <w:lang w:eastAsia="zh-CN"/>
        </w:rPr>
        <w:t>6.</w:t>
      </w:r>
      <w:r>
        <w:rPr>
          <w:rFonts w:hint="eastAsia" w:ascii="黑体" w:hAnsi="黑体" w:eastAsia="黑体" w:cs="黑体"/>
          <w:lang w:val="en-US" w:eastAsia="zh-CN"/>
        </w:rPr>
        <w:t>1.3</w:t>
      </w:r>
      <w:r>
        <w:rPr>
          <w:rFonts w:hint="eastAsia" w:ascii="黑体" w:hAnsi="黑体" w:eastAsia="黑体" w:cs="黑体"/>
          <w:szCs w:val="21"/>
        </w:rPr>
        <w:t xml:space="preserve">.3  </w:t>
      </w:r>
      <w:r>
        <w:rPr>
          <w:rFonts w:ascii="Times New Roman"/>
          <w:szCs w:val="21"/>
        </w:rPr>
        <w:t>调整后</w:t>
      </w:r>
      <w:r>
        <w:rPr>
          <w:rFonts w:hint="eastAsia" w:ascii="Times New Roman"/>
          <w:szCs w:val="21"/>
        </w:rPr>
        <w:t>功能</w:t>
      </w:r>
      <w:r>
        <w:rPr>
          <w:rFonts w:ascii="Times New Roman"/>
          <w:szCs w:val="21"/>
        </w:rPr>
        <w:t>规模与未调整</w:t>
      </w:r>
      <w:r>
        <w:rPr>
          <w:rFonts w:hint="eastAsia" w:ascii="Times New Roman"/>
          <w:szCs w:val="21"/>
        </w:rPr>
        <w:t>功能</w:t>
      </w:r>
      <w:r>
        <w:rPr>
          <w:rFonts w:ascii="Times New Roman"/>
          <w:szCs w:val="21"/>
        </w:rPr>
        <w:t>规模之间的关系如下所示：</w:t>
      </w:r>
    </w:p>
    <w:p w14:paraId="03C5AE03">
      <w:pPr>
        <w:pStyle w:val="142"/>
        <w:wordWrap w:val="0"/>
        <w:ind w:firstLine="0" w:firstLineChars="0"/>
        <w:jc w:val="right"/>
        <w:rPr>
          <w:rFonts w:ascii="Times New Roman"/>
          <w:i/>
          <w:iCs/>
          <w:szCs w:val="21"/>
        </w:rPr>
      </w:pPr>
      <w:r>
        <w:rPr>
          <w:rFonts w:hint="eastAsia" w:ascii="Times New Roman"/>
          <w:i/>
          <w:iCs/>
          <w:szCs w:val="21"/>
          <w:lang w:val="en-US" w:eastAsia="zh-CN"/>
        </w:rPr>
        <w:t xml:space="preserve">    </w:t>
      </w:r>
      <w:r>
        <w:rPr>
          <w:rFonts w:hint="eastAsia" w:ascii="Times New Roman"/>
          <w:i/>
          <w:iCs/>
          <w:szCs w:val="21"/>
        </w:rPr>
        <w:t>A</w:t>
      </w:r>
      <w:r>
        <w:rPr>
          <w:rFonts w:ascii="Times New Roman"/>
          <w:i/>
          <w:iCs/>
          <w:szCs w:val="21"/>
        </w:rPr>
        <w:t xml:space="preserve">S=US*CF     </w:t>
      </w:r>
      <w:r>
        <w:rPr>
          <w:rFonts w:hint="eastAsia" w:ascii="Times New Roman"/>
          <w:i/>
          <w:iCs/>
          <w:szCs w:val="21"/>
        </w:rPr>
        <w:t xml:space="preserve">                         </w:t>
      </w:r>
      <w:r>
        <w:rPr>
          <w:rFonts w:ascii="Times New Roman"/>
          <w:i/>
          <w:iCs/>
          <w:szCs w:val="21"/>
        </w:rPr>
        <w:t>...........</w:t>
      </w:r>
      <w:r>
        <w:rPr>
          <w:rFonts w:hint="eastAsia" w:ascii="Times New Roman"/>
          <w:i/>
          <w:iCs/>
          <w:szCs w:val="21"/>
        </w:rPr>
        <w:t>......</w:t>
      </w:r>
      <w:r>
        <w:rPr>
          <w:rFonts w:hint="eastAsia" w:ascii="Times New Roman"/>
          <w:i w:val="0"/>
          <w:iCs w:val="0"/>
          <w:szCs w:val="21"/>
        </w:rPr>
        <w:t>....</w:t>
      </w:r>
      <w:r>
        <w:rPr>
          <w:rFonts w:hint="eastAsia" w:asciiTheme="minorEastAsia" w:hAnsiTheme="minorEastAsia" w:eastAsiaTheme="minorEastAsia" w:cstheme="minorEastAsia"/>
          <w:i w:val="0"/>
          <w:iCs w:val="0"/>
          <w:szCs w:val="21"/>
        </w:rPr>
        <w:t>（3）</w:t>
      </w:r>
    </w:p>
    <w:p w14:paraId="1D8F3D9D">
      <w:pPr>
        <w:keepNext w:val="0"/>
        <w:keepLines w:val="0"/>
        <w:pageBreakBefore w:val="0"/>
        <w:widowControl w:val="0"/>
        <w:kinsoku/>
        <w:wordWrap/>
        <w:overflowPunct/>
        <w:topLinePunct w:val="0"/>
        <w:autoSpaceDE/>
        <w:autoSpaceDN/>
        <w:bidi w:val="0"/>
        <w:adjustRightInd/>
        <w:snapToGrid/>
        <w:spacing w:line="240" w:lineRule="auto"/>
        <w:ind w:firstLine="420" w:firstLineChars="0"/>
        <w:textAlignment w:val="auto"/>
        <w:rPr>
          <w:i/>
          <w:iCs/>
        </w:rPr>
      </w:pPr>
      <w:r>
        <w:rPr>
          <w:i/>
          <w:iCs/>
        </w:rPr>
        <w:t>式中：</w:t>
      </w:r>
    </w:p>
    <w:p w14:paraId="542E7E81">
      <w:pPr>
        <w:pStyle w:val="10"/>
        <w:keepNext w:val="0"/>
        <w:keepLines w:val="0"/>
        <w:pageBreakBefore w:val="0"/>
        <w:widowControl w:val="0"/>
        <w:kinsoku/>
        <w:wordWrap/>
        <w:overflowPunct/>
        <w:topLinePunct w:val="0"/>
        <w:autoSpaceDE/>
        <w:autoSpaceDN/>
        <w:bidi w:val="0"/>
        <w:adjustRightInd/>
        <w:snapToGrid/>
        <w:spacing w:after="0" w:line="240" w:lineRule="auto"/>
        <w:ind w:left="420" w:leftChars="200" w:firstLine="420" w:firstLineChars="0"/>
        <w:textAlignment w:val="auto"/>
        <w:rPr>
          <w:i w:val="0"/>
          <w:iCs w:val="0"/>
          <w:lang w:val="en-US" w:eastAsia="zh-CN"/>
        </w:rPr>
      </w:pPr>
      <w:r>
        <w:rPr>
          <w:rFonts w:hint="eastAsia"/>
          <w:i/>
          <w:iCs/>
          <w:lang w:val="en-US" w:eastAsia="zh-CN"/>
        </w:rPr>
        <w:t>A</w:t>
      </w:r>
      <w:r>
        <w:rPr>
          <w:i/>
          <w:iCs/>
          <w:lang w:val="en-US" w:eastAsia="zh-CN"/>
        </w:rPr>
        <w:t>S ——</w:t>
      </w:r>
      <w:r>
        <w:rPr>
          <w:i w:val="0"/>
          <w:iCs w:val="0"/>
          <w:lang w:val="en-US" w:eastAsia="zh-CN"/>
        </w:rPr>
        <w:t>调整后</w:t>
      </w:r>
      <w:r>
        <w:rPr>
          <w:rFonts w:hint="eastAsia"/>
          <w:i w:val="0"/>
          <w:iCs w:val="0"/>
          <w:lang w:val="en-US" w:eastAsia="zh-CN"/>
        </w:rPr>
        <w:t>功能</w:t>
      </w:r>
      <w:r>
        <w:rPr>
          <w:i w:val="0"/>
          <w:iCs w:val="0"/>
          <w:lang w:val="en-US" w:eastAsia="zh-CN"/>
        </w:rPr>
        <w:t>规模；</w:t>
      </w:r>
    </w:p>
    <w:p w14:paraId="51F31BCD">
      <w:pPr>
        <w:pStyle w:val="10"/>
        <w:keepNext w:val="0"/>
        <w:keepLines w:val="0"/>
        <w:pageBreakBefore w:val="0"/>
        <w:widowControl w:val="0"/>
        <w:kinsoku/>
        <w:wordWrap/>
        <w:overflowPunct/>
        <w:topLinePunct w:val="0"/>
        <w:autoSpaceDE/>
        <w:autoSpaceDN/>
        <w:bidi w:val="0"/>
        <w:adjustRightInd/>
        <w:snapToGrid/>
        <w:spacing w:after="0" w:line="240" w:lineRule="auto"/>
        <w:ind w:left="420" w:leftChars="200" w:firstLine="420" w:firstLineChars="0"/>
        <w:textAlignment w:val="auto"/>
        <w:rPr>
          <w:i/>
          <w:iCs/>
          <w:lang w:val="en-US" w:eastAsia="zh-CN"/>
        </w:rPr>
      </w:pPr>
      <w:r>
        <w:rPr>
          <w:i/>
          <w:iCs/>
          <w:lang w:val="en-US" w:eastAsia="zh-CN"/>
        </w:rPr>
        <w:t>US——</w:t>
      </w:r>
      <w:r>
        <w:rPr>
          <w:i w:val="0"/>
          <w:iCs w:val="0"/>
          <w:lang w:val="en-US" w:eastAsia="zh-CN"/>
        </w:rPr>
        <w:t>未调整</w:t>
      </w:r>
      <w:r>
        <w:rPr>
          <w:rFonts w:hint="eastAsia"/>
          <w:i w:val="0"/>
          <w:iCs w:val="0"/>
          <w:lang w:val="en-US" w:eastAsia="zh-CN"/>
        </w:rPr>
        <w:t>功能</w:t>
      </w:r>
      <w:r>
        <w:rPr>
          <w:i w:val="0"/>
          <w:iCs w:val="0"/>
          <w:lang w:val="en-US" w:eastAsia="zh-CN"/>
        </w:rPr>
        <w:t>规模；</w:t>
      </w:r>
    </w:p>
    <w:p w14:paraId="0DD46239">
      <w:pPr>
        <w:pStyle w:val="10"/>
        <w:keepNext w:val="0"/>
        <w:keepLines w:val="0"/>
        <w:pageBreakBefore w:val="0"/>
        <w:widowControl w:val="0"/>
        <w:kinsoku/>
        <w:wordWrap/>
        <w:overflowPunct/>
        <w:topLinePunct w:val="0"/>
        <w:autoSpaceDE/>
        <w:autoSpaceDN/>
        <w:bidi w:val="0"/>
        <w:adjustRightInd/>
        <w:snapToGrid/>
        <w:spacing w:after="0" w:line="240" w:lineRule="auto"/>
        <w:ind w:left="420" w:leftChars="200" w:firstLine="420" w:firstLineChars="0"/>
        <w:textAlignment w:val="auto"/>
        <w:rPr>
          <w:i/>
          <w:iCs/>
          <w:lang w:val="en-US" w:eastAsia="zh-CN"/>
        </w:rPr>
      </w:pPr>
      <w:r>
        <w:rPr>
          <w:i/>
          <w:iCs/>
          <w:lang w:val="en-US" w:eastAsia="zh-CN"/>
        </w:rPr>
        <w:t>CF——</w:t>
      </w:r>
      <w:r>
        <w:rPr>
          <w:i w:val="0"/>
          <w:iCs w:val="0"/>
          <w:lang w:val="en-US" w:eastAsia="zh-CN"/>
        </w:rPr>
        <w:t>规模变更因子。</w:t>
      </w:r>
    </w:p>
    <w:p w14:paraId="1A84F9E2">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default" w:ascii="黑体" w:hAnsi="黑体" w:eastAsia="黑体" w:cs="黑体"/>
          <w:szCs w:val="21"/>
          <w:lang w:val="en-US" w:eastAsia="zh-CN"/>
        </w:rPr>
      </w:pPr>
      <w:r>
        <w:rPr>
          <w:rFonts w:hint="eastAsia" w:ascii="黑体" w:hAnsi="黑体" w:eastAsia="黑体" w:cs="黑体"/>
          <w:szCs w:val="21"/>
          <w:lang w:val="en-US" w:eastAsia="zh-CN"/>
        </w:rPr>
        <w:t>6.2 软件工作量度量</w:t>
      </w:r>
    </w:p>
    <w:p w14:paraId="621D3B51">
      <w:pPr>
        <w:pStyle w:val="142"/>
        <w:bidi w:val="0"/>
      </w:pPr>
      <w:r>
        <w:t>根据完整的多元方程，考虑工作量影响因素，计算出工作量。工作量度量应考虑的因素包括（但不限于）：</w:t>
      </w:r>
    </w:p>
    <w:p w14:paraId="4E8FB7F4">
      <w:pPr>
        <w:pStyle w:val="142"/>
        <w:bidi w:val="0"/>
      </w:pPr>
      <w:r>
        <w:t>软件规模SF：基于委托方的基准数据，建立软件规模调整系数的回归方程，无基准数据时建议取值1；</w:t>
      </w:r>
    </w:p>
    <w:p w14:paraId="67A82B8C">
      <w:pPr>
        <w:pStyle w:val="142"/>
        <w:bidi w:val="0"/>
      </w:pPr>
      <w:r>
        <w:t>应用领域：如软件业务领域、软件应用类型等，取值范围一般在0.8~1.2；</w:t>
      </w:r>
    </w:p>
    <w:p w14:paraId="5E1F78A4">
      <w:pPr>
        <w:pStyle w:val="142"/>
        <w:bidi w:val="0"/>
      </w:pPr>
      <w:r>
        <w:t>软件完整性级别因子：软件完整性级别分为 A、B、C、D 四个等级，确定的方法见GB/T 18492-2001 中第7章，取值范围一般在1.0~1.3；</w:t>
      </w:r>
    </w:p>
    <w:p w14:paraId="5D1CD238">
      <w:pPr>
        <w:pStyle w:val="142"/>
        <w:bidi w:val="0"/>
      </w:pPr>
      <w:r>
        <w:t>质量要求：分布式处理、性能效率、可靠性、多重站点，最终取值=（分布式处理+性能效率+可靠性+多重站点）*0.025+1，各因子根据质量需求一般取-1、0、1；</w:t>
      </w:r>
    </w:p>
    <w:p w14:paraId="39C75C68">
      <w:pPr>
        <w:pStyle w:val="142"/>
        <w:bidi w:val="0"/>
      </w:pPr>
      <w:r>
        <w:t>开发语言；编程所使用的语言，取值范围一般在0.8~1.2；</w:t>
      </w:r>
    </w:p>
    <w:p w14:paraId="513A60A9">
      <w:pPr>
        <w:pStyle w:val="142"/>
        <w:bidi w:val="0"/>
      </w:pPr>
      <w:r>
        <w:t>开发团队背景：同类行业及项目的以往经验，取值范围一般在0.8~1.2。</w:t>
      </w:r>
    </w:p>
    <w:p w14:paraId="3108AF79">
      <w:pPr>
        <w:pStyle w:val="142"/>
        <w:bidi w:val="0"/>
      </w:pPr>
      <w:r>
        <w:t>生产率：每功能点开发或运维所消耗的工作量，单位为人天/功能点。其中开发工作量包含了开发团队从立项到交付的所有工程活动 （如需求分析、设计、编码、集成、测试、实施）及相关的项目管理和支持活动所耗费的工作量。具备条件的单位可根据历史数据推导出生产率，不具备条件的生产单位可参考行业基准数据，一般选择P50进行计算。软件基准工作量计算公式如下所示：</w:t>
      </w:r>
    </w:p>
    <w:p w14:paraId="16F38409">
      <w:pPr>
        <w:pStyle w:val="142"/>
        <w:bidi w:val="0"/>
        <w:ind w:firstLine="2730" w:firstLineChars="1300"/>
        <w:jc w:val="both"/>
      </w:pPr>
      <w:r>
        <w:rPr>
          <w:rFonts w:ascii="Times New Roman" w:hAnsi="Times New Roman" w:eastAsia="宋体"/>
          <w:i/>
          <w:iCs/>
          <w:sz w:val="21"/>
        </w:rPr>
        <w:t>AE=</w:t>
      </w:r>
      <w:r>
        <w:rPr>
          <w:rFonts w:hint="eastAsia" w:ascii="Times New Roman" w:hAnsi="Times New Roman" w:eastAsia="宋体"/>
          <w:i/>
          <w:iCs/>
          <w:sz w:val="21"/>
        </w:rPr>
        <w:t>A</w:t>
      </w:r>
      <w:r>
        <w:rPr>
          <w:rFonts w:ascii="Times New Roman" w:hAnsi="Times New Roman" w:eastAsia="宋体"/>
          <w:i/>
          <w:iCs/>
          <w:sz w:val="21"/>
        </w:rPr>
        <w:t>S*</w:t>
      </w:r>
      <w:r>
        <w:rPr>
          <w:rFonts w:hint="eastAsia" w:ascii="Times New Roman" w:hAnsi="Times New Roman" w:eastAsia="宋体"/>
          <w:i/>
          <w:iCs/>
          <w:sz w:val="21"/>
        </w:rPr>
        <w:t>CP</w:t>
      </w:r>
      <w:r>
        <w:rPr>
          <w:rFonts w:ascii="Times New Roman" w:hAnsi="Times New Roman" w:eastAsia="宋体"/>
          <w:i/>
          <w:iCs/>
          <w:sz w:val="21"/>
        </w:rPr>
        <w:t>*SF*A</w:t>
      </w:r>
      <w:r>
        <w:rPr>
          <w:rFonts w:hint="eastAsia" w:ascii="Times New Roman" w:hAnsi="Times New Roman" w:eastAsia="宋体"/>
          <w:i/>
          <w:iCs/>
          <w:sz w:val="21"/>
        </w:rPr>
        <w:t>R</w:t>
      </w:r>
      <w:r>
        <w:rPr>
          <w:rFonts w:ascii="Times New Roman" w:hAnsi="Times New Roman" w:eastAsia="宋体"/>
          <w:i/>
          <w:iCs/>
          <w:sz w:val="21"/>
        </w:rPr>
        <w:t>*QR*</w:t>
      </w:r>
      <w:r>
        <w:rPr>
          <w:rFonts w:hint="eastAsia" w:ascii="Times New Roman" w:hAnsi="Times New Roman" w:eastAsia="宋体"/>
          <w:i/>
          <w:iCs/>
          <w:sz w:val="21"/>
        </w:rPr>
        <w:t>D</w:t>
      </w:r>
      <w:r>
        <w:rPr>
          <w:rFonts w:ascii="Times New Roman" w:hAnsi="Times New Roman" w:eastAsia="宋体"/>
          <w:i/>
          <w:iCs/>
          <w:sz w:val="21"/>
        </w:rPr>
        <w:t>L*</w:t>
      </w:r>
      <w:r>
        <w:rPr>
          <w:rFonts w:hint="eastAsia" w:ascii="Times New Roman" w:hAnsi="Times New Roman" w:eastAsia="宋体"/>
          <w:i/>
          <w:iCs/>
          <w:sz w:val="21"/>
        </w:rPr>
        <w:t>D</w:t>
      </w:r>
      <w:r>
        <w:rPr>
          <w:rFonts w:ascii="Times New Roman" w:hAnsi="Times New Roman" w:eastAsia="宋体"/>
          <w:i/>
          <w:iCs/>
          <w:sz w:val="21"/>
        </w:rPr>
        <w:t>T*</w:t>
      </w:r>
      <w:r>
        <w:rPr>
          <w:rFonts w:hint="eastAsia" w:ascii="Times New Roman" w:hAnsi="Times New Roman" w:eastAsia="宋体"/>
          <w:i/>
          <w:iCs/>
          <w:sz w:val="21"/>
        </w:rPr>
        <w:t>SIL</w:t>
      </w:r>
      <w:r>
        <w:rPr>
          <w:rFonts w:ascii="Times New Roman" w:hAnsi="Times New Roman" w:eastAsia="宋体"/>
          <w:i/>
          <w:iCs/>
          <w:sz w:val="21"/>
        </w:rPr>
        <w:t xml:space="preserve"> </w:t>
      </w:r>
      <w:r>
        <w:rPr>
          <w:rFonts w:hint="eastAsia" w:ascii="Times New Roman" w:hAnsi="Times New Roman" w:eastAsia="宋体"/>
          <w:sz w:val="21"/>
        </w:rPr>
        <w:t xml:space="preserve">    </w:t>
      </w:r>
      <w:r>
        <w:rPr>
          <w:rFonts w:ascii="Times New Roman" w:hAnsi="Times New Roman" w:eastAsia="宋体"/>
          <w:sz w:val="21"/>
        </w:rPr>
        <w:t xml:space="preserve">  </w:t>
      </w:r>
      <w:r>
        <w:rPr>
          <w:rFonts w:hint="eastAsia"/>
          <w:lang w:val="en-US" w:eastAsia="zh-CN"/>
        </w:rPr>
        <w:t xml:space="preserve">           </w:t>
      </w:r>
      <w:r>
        <w:rPr>
          <w:rFonts w:ascii="Times New Roman"/>
          <w:szCs w:val="21"/>
        </w:rPr>
        <w:t>...........</w:t>
      </w:r>
      <w:r>
        <w:rPr>
          <w:rFonts w:hint="eastAsia" w:ascii="Times New Roman"/>
          <w:szCs w:val="21"/>
        </w:rPr>
        <w:t>..........</w:t>
      </w:r>
      <w:r>
        <w:rPr>
          <w:rFonts w:ascii="Times New Roman"/>
          <w:szCs w:val="21"/>
        </w:rPr>
        <w:t>（</w:t>
      </w:r>
      <w:r>
        <w:rPr>
          <w:rFonts w:hint="eastAsia" w:ascii="Times New Roman"/>
          <w:szCs w:val="21"/>
        </w:rPr>
        <w:t>4</w:t>
      </w:r>
      <w:r>
        <w:rPr>
          <w:rFonts w:ascii="Times New Roman"/>
          <w:szCs w:val="21"/>
        </w:rPr>
        <w:t>）</w:t>
      </w:r>
    </w:p>
    <w:p w14:paraId="3607107B">
      <w:pPr>
        <w:pStyle w:val="142"/>
        <w:bidi w:val="0"/>
      </w:pPr>
      <w:r>
        <w:t>式中：</w:t>
      </w:r>
    </w:p>
    <w:p w14:paraId="4733EBF4">
      <w:pPr>
        <w:pStyle w:val="142"/>
        <w:bidi w:val="0"/>
        <w:ind w:left="420" w:leftChars="0"/>
        <w:rPr>
          <w:rFonts w:ascii="Times New Roman" w:hAnsi="Times New Roman" w:eastAsia="宋体"/>
          <w:sz w:val="21"/>
        </w:rPr>
      </w:pPr>
      <w:r>
        <w:rPr>
          <w:rFonts w:ascii="Times New Roman" w:hAnsi="Times New Roman" w:eastAsia="宋体"/>
          <w:i/>
          <w:iCs/>
          <w:sz w:val="21"/>
        </w:rPr>
        <w:t>A</w:t>
      </w:r>
      <w:r>
        <w:rPr>
          <w:rFonts w:hint="eastAsia" w:ascii="Times New Roman" w:hAnsi="Times New Roman" w:eastAsia="宋体" w:cs="Times New Roman"/>
          <w:i/>
          <w:iCs/>
          <w:sz w:val="21"/>
          <w:szCs w:val="21"/>
        </w:rPr>
        <w:t>E</w:t>
      </w:r>
      <w:r>
        <w:rPr>
          <w:rFonts w:ascii="Times New Roman" w:hAnsi="Times New Roman" w:eastAsia="宋体"/>
          <w:sz w:val="21"/>
        </w:rPr>
        <w:t>——软件基准工作量；</w:t>
      </w:r>
    </w:p>
    <w:p w14:paraId="63C05221">
      <w:pPr>
        <w:pStyle w:val="142"/>
        <w:bidi w:val="0"/>
        <w:ind w:left="420" w:leftChars="0"/>
        <w:rPr>
          <w:rFonts w:ascii="Times New Roman" w:hAnsi="Times New Roman" w:eastAsia="宋体"/>
          <w:sz w:val="21"/>
        </w:rPr>
      </w:pPr>
      <w:r>
        <w:rPr>
          <w:rFonts w:hint="eastAsia" w:ascii="Times New Roman" w:hAnsi="Times New Roman" w:eastAsia="宋体"/>
          <w:i/>
          <w:iCs/>
          <w:sz w:val="21"/>
        </w:rPr>
        <w:t>A</w:t>
      </w:r>
      <w:r>
        <w:rPr>
          <w:rFonts w:ascii="Times New Roman" w:hAnsi="Times New Roman" w:eastAsia="宋体"/>
          <w:i/>
          <w:iCs/>
          <w:sz w:val="21"/>
        </w:rPr>
        <w:t>S</w:t>
      </w:r>
      <w:r>
        <w:rPr>
          <w:rFonts w:ascii="Times New Roman" w:hAnsi="Times New Roman" w:eastAsia="宋体"/>
          <w:sz w:val="21"/>
        </w:rPr>
        <w:t xml:space="preserve"> ——调整后软件规模；</w:t>
      </w:r>
    </w:p>
    <w:p w14:paraId="4C2730CA">
      <w:pPr>
        <w:pStyle w:val="142"/>
        <w:bidi w:val="0"/>
        <w:ind w:left="420" w:leftChars="0"/>
        <w:rPr>
          <w:rFonts w:ascii="Times New Roman" w:hAnsi="Times New Roman" w:eastAsia="宋体"/>
          <w:sz w:val="21"/>
        </w:rPr>
      </w:pPr>
      <w:r>
        <w:rPr>
          <w:rFonts w:ascii="Times New Roman" w:hAnsi="Times New Roman" w:eastAsia="宋体"/>
          <w:i/>
          <w:iCs/>
          <w:sz w:val="21"/>
        </w:rPr>
        <w:t>C</w:t>
      </w:r>
      <w:r>
        <w:rPr>
          <w:rFonts w:hint="eastAsia" w:ascii="Times New Roman" w:hAnsi="Times New Roman" w:eastAsia="宋体"/>
          <w:i/>
          <w:iCs/>
          <w:sz w:val="21"/>
        </w:rPr>
        <w:t>P</w:t>
      </w:r>
      <w:r>
        <w:rPr>
          <w:rFonts w:ascii="Times New Roman" w:hAnsi="Times New Roman" w:eastAsia="宋体"/>
          <w:sz w:val="21"/>
        </w:rPr>
        <w:t xml:space="preserve"> ——生产率；</w:t>
      </w:r>
    </w:p>
    <w:p w14:paraId="269E1CCC">
      <w:pPr>
        <w:pStyle w:val="142"/>
        <w:bidi w:val="0"/>
        <w:ind w:left="420" w:leftChars="0"/>
        <w:rPr>
          <w:rFonts w:ascii="Times New Roman" w:hAnsi="Times New Roman" w:eastAsia="宋体"/>
          <w:sz w:val="21"/>
        </w:rPr>
      </w:pPr>
      <w:r>
        <w:rPr>
          <w:rFonts w:ascii="Times New Roman" w:hAnsi="Times New Roman" w:eastAsia="宋体"/>
          <w:i/>
          <w:iCs/>
          <w:sz w:val="21"/>
        </w:rPr>
        <w:t>SF</w:t>
      </w:r>
      <w:r>
        <w:rPr>
          <w:rFonts w:ascii="Times New Roman" w:hAnsi="Times New Roman" w:eastAsia="宋体"/>
          <w:sz w:val="21"/>
        </w:rPr>
        <w:t>——软件规模</w:t>
      </w:r>
      <w:r>
        <w:rPr>
          <w:rFonts w:hint="eastAsia" w:ascii="Times New Roman" w:hAnsi="Times New Roman" w:eastAsia="宋体"/>
          <w:sz w:val="21"/>
        </w:rPr>
        <w:t>SF</w:t>
      </w:r>
      <w:r>
        <w:rPr>
          <w:rFonts w:ascii="Times New Roman" w:hAnsi="Times New Roman" w:eastAsia="宋体"/>
          <w:sz w:val="21"/>
        </w:rPr>
        <w:t>；</w:t>
      </w:r>
    </w:p>
    <w:p w14:paraId="2B620462">
      <w:pPr>
        <w:pStyle w:val="142"/>
        <w:bidi w:val="0"/>
        <w:ind w:left="420" w:leftChars="0"/>
        <w:rPr>
          <w:rFonts w:ascii="Times New Roman" w:hAnsi="Times New Roman" w:eastAsia="宋体"/>
          <w:sz w:val="21"/>
        </w:rPr>
      </w:pPr>
      <w:r>
        <w:rPr>
          <w:rFonts w:ascii="Times New Roman" w:hAnsi="Times New Roman" w:eastAsia="宋体"/>
          <w:i/>
          <w:iCs/>
          <w:sz w:val="21"/>
        </w:rPr>
        <w:t>A</w:t>
      </w:r>
      <w:r>
        <w:rPr>
          <w:rFonts w:hint="eastAsia" w:ascii="Times New Roman" w:hAnsi="Times New Roman" w:eastAsia="宋体"/>
          <w:i/>
          <w:iCs/>
          <w:sz w:val="21"/>
        </w:rPr>
        <w:t>R</w:t>
      </w:r>
      <w:r>
        <w:rPr>
          <w:rFonts w:ascii="Times New Roman" w:hAnsi="Times New Roman" w:eastAsia="宋体"/>
          <w:sz w:val="21"/>
        </w:rPr>
        <w:t>——应用领域；</w:t>
      </w:r>
    </w:p>
    <w:p w14:paraId="29333140">
      <w:pPr>
        <w:pStyle w:val="142"/>
        <w:bidi w:val="0"/>
        <w:ind w:left="420" w:leftChars="0"/>
        <w:rPr>
          <w:rFonts w:ascii="Times New Roman" w:hAnsi="Times New Roman" w:eastAsia="宋体"/>
          <w:sz w:val="21"/>
        </w:rPr>
      </w:pPr>
      <w:r>
        <w:rPr>
          <w:rFonts w:ascii="Times New Roman" w:hAnsi="Times New Roman" w:eastAsia="宋体"/>
          <w:i/>
          <w:iCs/>
          <w:sz w:val="21"/>
        </w:rPr>
        <w:t>QR</w:t>
      </w:r>
      <w:r>
        <w:rPr>
          <w:rFonts w:ascii="Times New Roman" w:hAnsi="Times New Roman" w:eastAsia="宋体"/>
          <w:sz w:val="21"/>
        </w:rPr>
        <w:t>——质量要求；</w:t>
      </w:r>
    </w:p>
    <w:p w14:paraId="3E9DFE3C">
      <w:pPr>
        <w:pStyle w:val="142"/>
        <w:bidi w:val="0"/>
        <w:ind w:left="420" w:leftChars="0"/>
        <w:rPr>
          <w:rFonts w:ascii="Times New Roman" w:hAnsi="Times New Roman" w:eastAsia="宋体"/>
          <w:sz w:val="21"/>
        </w:rPr>
      </w:pPr>
      <w:r>
        <w:rPr>
          <w:rFonts w:hint="eastAsia" w:ascii="Times New Roman" w:hAnsi="Times New Roman" w:eastAsia="宋体"/>
          <w:i/>
          <w:iCs/>
          <w:sz w:val="21"/>
        </w:rPr>
        <w:t>D</w:t>
      </w:r>
      <w:r>
        <w:rPr>
          <w:rFonts w:ascii="Times New Roman" w:hAnsi="Times New Roman" w:eastAsia="宋体"/>
          <w:i/>
          <w:iCs/>
          <w:sz w:val="21"/>
        </w:rPr>
        <w:t>L</w:t>
      </w:r>
      <w:r>
        <w:rPr>
          <w:rFonts w:ascii="Times New Roman" w:hAnsi="Times New Roman" w:eastAsia="宋体"/>
          <w:sz w:val="21"/>
        </w:rPr>
        <w:t xml:space="preserve"> ——开发语言；</w:t>
      </w:r>
    </w:p>
    <w:p w14:paraId="224877A2">
      <w:pPr>
        <w:pStyle w:val="142"/>
        <w:bidi w:val="0"/>
        <w:ind w:left="420" w:leftChars="0"/>
        <w:rPr>
          <w:rFonts w:ascii="Times New Roman" w:hAnsi="Times New Roman" w:eastAsia="宋体"/>
          <w:sz w:val="21"/>
        </w:rPr>
      </w:pPr>
      <w:r>
        <w:rPr>
          <w:rFonts w:hint="eastAsia" w:ascii="Times New Roman" w:hAnsi="Times New Roman" w:eastAsia="宋体"/>
          <w:i/>
          <w:iCs/>
          <w:sz w:val="21"/>
        </w:rPr>
        <w:t>D</w:t>
      </w:r>
      <w:r>
        <w:rPr>
          <w:rFonts w:ascii="Times New Roman" w:hAnsi="Times New Roman" w:eastAsia="宋体"/>
          <w:i/>
          <w:iCs/>
          <w:sz w:val="21"/>
        </w:rPr>
        <w:t>T</w:t>
      </w:r>
      <w:r>
        <w:rPr>
          <w:rFonts w:ascii="Times New Roman" w:hAnsi="Times New Roman" w:eastAsia="宋体"/>
          <w:sz w:val="21"/>
        </w:rPr>
        <w:t xml:space="preserve"> ——开发团队</w:t>
      </w:r>
      <w:r>
        <w:rPr>
          <w:rFonts w:hint="eastAsia" w:ascii="Times New Roman" w:hAnsi="Times New Roman" w:eastAsia="宋体"/>
          <w:sz w:val="21"/>
        </w:rPr>
        <w:t>；</w:t>
      </w:r>
    </w:p>
    <w:p w14:paraId="40F2D83E">
      <w:pPr>
        <w:pStyle w:val="142"/>
        <w:bidi w:val="0"/>
        <w:ind w:left="420" w:leftChars="0"/>
        <w:rPr>
          <w:rFonts w:ascii="Times New Roman"/>
          <w:szCs w:val="21"/>
        </w:rPr>
      </w:pPr>
      <w:r>
        <w:rPr>
          <w:rFonts w:hint="eastAsia" w:ascii="Times New Roman" w:hAnsi="Times New Roman" w:eastAsia="宋体"/>
          <w:i/>
          <w:iCs/>
          <w:sz w:val="21"/>
        </w:rPr>
        <w:t>SIL</w:t>
      </w:r>
      <w:r>
        <w:rPr>
          <w:rFonts w:ascii="Times New Roman" w:hAnsi="Times New Roman" w:eastAsia="宋体"/>
          <w:sz w:val="21"/>
        </w:rPr>
        <w:t>——软件完整性级别。</w:t>
      </w:r>
    </w:p>
    <w:p w14:paraId="0366BFA4">
      <w:pPr>
        <w:pStyle w:val="10"/>
        <w:keepNext w:val="0"/>
        <w:keepLines w:val="0"/>
        <w:pageBreakBefore w:val="0"/>
        <w:widowControl w:val="0"/>
        <w:kinsoku/>
        <w:wordWrap/>
        <w:overflowPunct/>
        <w:topLinePunct w:val="0"/>
        <w:autoSpaceDE/>
        <w:autoSpaceDN/>
        <w:bidi w:val="0"/>
        <w:adjustRightInd/>
        <w:snapToGrid/>
        <w:spacing w:after="0" w:line="240" w:lineRule="auto"/>
        <w:ind w:left="420" w:leftChars="200" w:firstLine="420" w:firstLineChars="0"/>
        <w:textAlignment w:val="auto"/>
        <w:rPr>
          <w:rFonts w:ascii="Times New Roman"/>
          <w:sz w:val="18"/>
          <w:szCs w:val="18"/>
        </w:rPr>
      </w:pPr>
      <w:r>
        <w:rPr>
          <w:rFonts w:ascii="黑体" w:hAnsi="黑体" w:eastAsia="黑体" w:cs="黑体"/>
          <w:sz w:val="18"/>
          <w:szCs w:val="18"/>
        </w:rPr>
        <w:t>注1：</w:t>
      </w:r>
      <w:r>
        <w:rPr>
          <w:rFonts w:ascii="Times New Roman"/>
          <w:sz w:val="18"/>
          <w:szCs w:val="18"/>
        </w:rPr>
        <w:t>可依据委托方实际情况对影响因素以及影响因素的参数范围进行自定义</w:t>
      </w:r>
      <w:r>
        <w:rPr>
          <w:rFonts w:hint="eastAsia" w:ascii="Times New Roman"/>
          <w:sz w:val="18"/>
          <w:szCs w:val="18"/>
        </w:rPr>
        <w:t>。</w:t>
      </w:r>
    </w:p>
    <w:p w14:paraId="1E2D86C5">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黑体" w:hAnsi="黑体" w:eastAsia="黑体" w:cs="黑体"/>
          <w:szCs w:val="21"/>
          <w:lang w:val="en-US" w:eastAsia="zh-CN"/>
        </w:rPr>
      </w:pPr>
      <w:r>
        <w:rPr>
          <w:rFonts w:hint="eastAsia" w:ascii="黑体" w:hAnsi="黑体" w:eastAsia="黑体" w:cs="黑体"/>
          <w:szCs w:val="21"/>
          <w:lang w:val="en-US" w:eastAsia="zh-CN"/>
        </w:rPr>
        <w:t>6.3 软件开发成本度量</w:t>
      </w:r>
    </w:p>
    <w:p w14:paraId="2FF50CD5">
      <w:pPr>
        <w:pStyle w:val="142"/>
        <w:ind w:firstLine="0" w:firstLineChars="0"/>
        <w:jc w:val="left"/>
        <w:rPr>
          <w:rFonts w:ascii="Times New Roman"/>
          <w:szCs w:val="21"/>
        </w:rPr>
      </w:pPr>
      <w:r>
        <w:rPr>
          <w:rFonts w:hint="eastAsia" w:ascii="黑体" w:hAnsi="黑体" w:eastAsia="黑体" w:cs="黑体"/>
          <w:szCs w:val="21"/>
        </w:rPr>
        <w:t>6.</w:t>
      </w:r>
      <w:r>
        <w:rPr>
          <w:rFonts w:hint="eastAsia" w:ascii="黑体" w:hAnsi="黑体" w:eastAsia="黑体" w:cs="黑体"/>
          <w:szCs w:val="21"/>
          <w:lang w:val="en-US" w:eastAsia="zh-CN"/>
        </w:rPr>
        <w:t>3</w:t>
      </w:r>
      <w:r>
        <w:rPr>
          <w:rFonts w:hint="eastAsia" w:ascii="黑体" w:hAnsi="黑体" w:eastAsia="黑体" w:cs="黑体"/>
          <w:szCs w:val="21"/>
        </w:rPr>
        <w:t xml:space="preserve">.1 </w:t>
      </w:r>
      <w:r>
        <w:rPr>
          <w:rFonts w:hint="eastAsia" w:ascii="Times New Roman"/>
          <w:szCs w:val="21"/>
        </w:rPr>
        <w:t xml:space="preserve"> </w:t>
      </w:r>
      <w:r>
        <w:rPr>
          <w:rFonts w:ascii="Times New Roman"/>
          <w:szCs w:val="21"/>
        </w:rPr>
        <w:t>软件开发成本与软件基准工作量的关系如下所示：</w:t>
      </w:r>
    </w:p>
    <w:p w14:paraId="4E2E1797">
      <w:pPr>
        <w:pStyle w:val="142"/>
        <w:keepNext w:val="0"/>
        <w:keepLines w:val="0"/>
        <w:pageBreakBefore w:val="0"/>
        <w:widowControl/>
        <w:kinsoku/>
        <w:wordWrap w:val="0"/>
        <w:overflowPunct/>
        <w:topLinePunct w:val="0"/>
        <w:autoSpaceDE w:val="0"/>
        <w:autoSpaceDN w:val="0"/>
        <w:bidi w:val="0"/>
        <w:adjustRightInd/>
        <w:snapToGrid/>
        <w:ind w:firstLine="420"/>
        <w:textAlignment w:val="auto"/>
        <w:rPr>
          <w:rFonts w:ascii="Times New Roman"/>
          <w:szCs w:val="21"/>
        </w:rPr>
      </w:pPr>
      <w:r>
        <w:rPr>
          <w:rFonts w:hint="eastAsia" w:ascii="Times New Roman"/>
          <w:szCs w:val="21"/>
        </w:rPr>
        <w:t xml:space="preserve">    </w:t>
      </w:r>
      <w:r>
        <w:rPr>
          <w:rFonts w:hint="eastAsia" w:ascii="Times New Roman"/>
          <w:i/>
          <w:iCs/>
          <w:szCs w:val="21"/>
        </w:rPr>
        <w:t xml:space="preserve">                          SDC=AE*F+DNC       </w:t>
      </w:r>
      <w:r>
        <w:rPr>
          <w:rFonts w:hint="eastAsia" w:ascii="Times New Roman"/>
          <w:szCs w:val="21"/>
        </w:rPr>
        <w:t xml:space="preserve">                  </w:t>
      </w:r>
      <w:r>
        <w:rPr>
          <w:rFonts w:ascii="Times New Roman"/>
          <w:szCs w:val="21"/>
        </w:rPr>
        <w:t>...........</w:t>
      </w:r>
      <w:r>
        <w:rPr>
          <w:rFonts w:hint="eastAsia" w:ascii="Times New Roman"/>
          <w:szCs w:val="21"/>
        </w:rPr>
        <w:t>..........</w:t>
      </w:r>
      <w:r>
        <w:rPr>
          <w:rFonts w:ascii="Times New Roman"/>
          <w:szCs w:val="21"/>
        </w:rPr>
        <w:t>（</w:t>
      </w:r>
      <w:r>
        <w:rPr>
          <w:rFonts w:hint="eastAsia" w:ascii="Times New Roman"/>
          <w:szCs w:val="21"/>
        </w:rPr>
        <w:t>5</w:t>
      </w:r>
      <w:r>
        <w:rPr>
          <w:rFonts w:ascii="Times New Roman"/>
          <w:szCs w:val="21"/>
        </w:rPr>
        <w:t>）</w:t>
      </w:r>
      <w:r>
        <w:rPr>
          <w:rFonts w:hint="eastAsia" w:ascii="Times New Roman"/>
          <w:szCs w:val="21"/>
          <w:lang w:val="en-US" w:eastAsia="zh-CN"/>
        </w:rPr>
        <w:tab/>
      </w:r>
      <w:r>
        <w:rPr>
          <w:rFonts w:ascii="Times New Roman"/>
          <w:szCs w:val="21"/>
        </w:rPr>
        <w:t>式中：</w:t>
      </w:r>
    </w:p>
    <w:p w14:paraId="377A46E6">
      <w:pPr>
        <w:pStyle w:val="142"/>
        <w:keepNext w:val="0"/>
        <w:keepLines w:val="0"/>
        <w:pageBreakBefore w:val="0"/>
        <w:widowControl/>
        <w:kinsoku/>
        <w:wordWrap w:val="0"/>
        <w:overflowPunct/>
        <w:topLinePunct w:val="0"/>
        <w:autoSpaceDE w:val="0"/>
        <w:autoSpaceDN w:val="0"/>
        <w:bidi w:val="0"/>
        <w:adjustRightInd/>
        <w:snapToGrid/>
        <w:ind w:left="420" w:leftChars="0" w:firstLine="420"/>
        <w:textAlignment w:val="auto"/>
        <w:rPr>
          <w:rFonts w:ascii="Times New Roman"/>
          <w:i w:val="0"/>
          <w:iCs w:val="0"/>
          <w:szCs w:val="21"/>
        </w:rPr>
      </w:pPr>
      <w:r>
        <w:rPr>
          <w:rFonts w:hint="eastAsia" w:ascii="Times New Roman"/>
          <w:i/>
          <w:iCs/>
          <w:szCs w:val="21"/>
        </w:rPr>
        <w:t>SDC</w:t>
      </w:r>
      <w:r>
        <w:rPr>
          <w:rFonts w:ascii="Times New Roman"/>
          <w:i w:val="0"/>
          <w:iCs w:val="0"/>
          <w:szCs w:val="21"/>
        </w:rPr>
        <w:t>——</w:t>
      </w:r>
      <w:r>
        <w:rPr>
          <w:rFonts w:hint="eastAsia" w:ascii="Times New Roman"/>
          <w:i w:val="0"/>
          <w:iCs w:val="0"/>
          <w:szCs w:val="21"/>
        </w:rPr>
        <w:t>软件开发成本，单位为元；</w:t>
      </w:r>
    </w:p>
    <w:p w14:paraId="2C94E60D">
      <w:pPr>
        <w:pStyle w:val="142"/>
        <w:keepNext w:val="0"/>
        <w:keepLines w:val="0"/>
        <w:pageBreakBefore w:val="0"/>
        <w:widowControl/>
        <w:kinsoku/>
        <w:wordWrap w:val="0"/>
        <w:overflowPunct/>
        <w:topLinePunct w:val="0"/>
        <w:autoSpaceDE w:val="0"/>
        <w:autoSpaceDN w:val="0"/>
        <w:bidi w:val="0"/>
        <w:adjustRightInd/>
        <w:snapToGrid/>
        <w:ind w:left="420" w:leftChars="0" w:firstLine="420"/>
        <w:textAlignment w:val="auto"/>
        <w:rPr>
          <w:rFonts w:ascii="Times New Roman"/>
          <w:i w:val="0"/>
          <w:iCs w:val="0"/>
          <w:szCs w:val="21"/>
        </w:rPr>
      </w:pPr>
      <w:r>
        <w:rPr>
          <w:rFonts w:hint="eastAsia" w:ascii="Times New Roman"/>
          <w:i/>
          <w:iCs/>
          <w:szCs w:val="21"/>
        </w:rPr>
        <w:t>AE</w:t>
      </w:r>
      <w:r>
        <w:rPr>
          <w:rFonts w:ascii="Times New Roman"/>
          <w:i w:val="0"/>
          <w:iCs w:val="0"/>
          <w:szCs w:val="21"/>
        </w:rPr>
        <w:t>——软件基准工作量</w:t>
      </w:r>
      <w:r>
        <w:rPr>
          <w:rFonts w:hint="eastAsia" w:ascii="Times New Roman"/>
          <w:i w:val="0"/>
          <w:iCs w:val="0"/>
          <w:szCs w:val="21"/>
        </w:rPr>
        <w:t>，单位为人天；</w:t>
      </w:r>
    </w:p>
    <w:p w14:paraId="413F1860">
      <w:pPr>
        <w:pStyle w:val="142"/>
        <w:keepNext w:val="0"/>
        <w:keepLines w:val="0"/>
        <w:pageBreakBefore w:val="0"/>
        <w:widowControl/>
        <w:kinsoku/>
        <w:wordWrap w:val="0"/>
        <w:overflowPunct/>
        <w:topLinePunct w:val="0"/>
        <w:autoSpaceDE w:val="0"/>
        <w:autoSpaceDN w:val="0"/>
        <w:bidi w:val="0"/>
        <w:adjustRightInd/>
        <w:snapToGrid/>
        <w:spacing w:line="240" w:lineRule="auto"/>
        <w:ind w:left="420" w:leftChars="0" w:firstLine="420"/>
        <w:textAlignment w:val="auto"/>
        <w:rPr>
          <w:rFonts w:ascii="Times New Roman"/>
          <w:i w:val="0"/>
          <w:iCs w:val="0"/>
          <w:szCs w:val="21"/>
        </w:rPr>
      </w:pPr>
      <w:r>
        <w:rPr>
          <w:rFonts w:hint="eastAsia" w:ascii="Times New Roman"/>
          <w:i/>
          <w:iCs/>
          <w:szCs w:val="21"/>
        </w:rPr>
        <w:t>FR</w:t>
      </w:r>
      <w:r>
        <w:rPr>
          <w:rFonts w:ascii="Times New Roman"/>
          <w:i w:val="0"/>
          <w:iCs w:val="0"/>
          <w:szCs w:val="21"/>
        </w:rPr>
        <w:t>——</w:t>
      </w:r>
      <w:r>
        <w:rPr>
          <w:rFonts w:hint="eastAsia" w:ascii="Times New Roman"/>
          <w:i w:val="0"/>
          <w:iCs w:val="0"/>
          <w:szCs w:val="21"/>
        </w:rPr>
        <w:t>综合人天单价，单位为元/人天；</w:t>
      </w:r>
    </w:p>
    <w:p w14:paraId="4251C823">
      <w:pPr>
        <w:pStyle w:val="142"/>
        <w:keepNext w:val="0"/>
        <w:keepLines w:val="0"/>
        <w:pageBreakBefore w:val="0"/>
        <w:widowControl/>
        <w:kinsoku/>
        <w:wordWrap w:val="0"/>
        <w:overflowPunct/>
        <w:topLinePunct w:val="0"/>
        <w:autoSpaceDE w:val="0"/>
        <w:autoSpaceDN w:val="0"/>
        <w:bidi w:val="0"/>
        <w:adjustRightInd/>
        <w:snapToGrid/>
        <w:spacing w:line="240" w:lineRule="auto"/>
        <w:ind w:left="420" w:leftChars="0" w:firstLine="420"/>
        <w:textAlignment w:val="auto"/>
        <w:rPr>
          <w:rFonts w:ascii="Times New Roman"/>
          <w:szCs w:val="21"/>
        </w:rPr>
      </w:pPr>
      <w:r>
        <w:rPr>
          <w:rFonts w:hint="eastAsia" w:ascii="Times New Roman"/>
          <w:i/>
          <w:iCs/>
          <w:szCs w:val="21"/>
        </w:rPr>
        <w:t>DNC</w:t>
      </w:r>
      <w:r>
        <w:rPr>
          <w:rFonts w:ascii="Times New Roman"/>
          <w:i w:val="0"/>
          <w:iCs w:val="0"/>
          <w:szCs w:val="21"/>
        </w:rPr>
        <w:t>——直接非人力成本</w:t>
      </w:r>
      <w:r>
        <w:rPr>
          <w:rFonts w:hint="eastAsia" w:ascii="Times New Roman"/>
          <w:i w:val="0"/>
          <w:iCs w:val="0"/>
          <w:szCs w:val="21"/>
        </w:rPr>
        <w:t>，单位为元。</w:t>
      </w:r>
    </w:p>
    <w:p w14:paraId="6BF94689">
      <w:pPr>
        <w:pStyle w:val="142"/>
        <w:spacing w:line="240" w:lineRule="auto"/>
        <w:ind w:firstLine="0" w:firstLineChars="0"/>
        <w:rPr>
          <w:rFonts w:ascii="Times New Roman"/>
          <w:szCs w:val="21"/>
        </w:rPr>
      </w:pPr>
      <w:r>
        <w:rPr>
          <w:rFonts w:hint="eastAsia" w:ascii="黑体" w:hAnsi="黑体" w:eastAsia="黑体" w:cs="黑体"/>
          <w:szCs w:val="21"/>
        </w:rPr>
        <w:t>6.</w:t>
      </w:r>
      <w:r>
        <w:rPr>
          <w:rFonts w:hint="eastAsia" w:ascii="黑体" w:hAnsi="黑体" w:eastAsia="黑体" w:cs="黑体"/>
          <w:szCs w:val="21"/>
          <w:lang w:val="en-US" w:eastAsia="zh-CN"/>
        </w:rPr>
        <w:t>3</w:t>
      </w:r>
      <w:r>
        <w:rPr>
          <w:rFonts w:hint="eastAsia" w:ascii="黑体" w:hAnsi="黑体" w:eastAsia="黑体" w:cs="黑体"/>
          <w:szCs w:val="21"/>
        </w:rPr>
        <w:t xml:space="preserve">.2  </w:t>
      </w:r>
      <w:r>
        <w:rPr>
          <w:rFonts w:ascii="Times New Roman"/>
          <w:szCs w:val="21"/>
        </w:rPr>
        <w:t>成本度量的关键活动在于确认软件开发综合人天单价，可按以下优先级从高到低进行选择：</w:t>
      </w:r>
    </w:p>
    <w:p w14:paraId="36437317">
      <w:pPr>
        <w:pStyle w:val="142"/>
        <w:numPr>
          <w:ilvl w:val="1"/>
          <w:numId w:val="21"/>
        </w:numPr>
        <w:spacing w:line="240" w:lineRule="auto"/>
        <w:ind w:left="0" w:firstLine="420"/>
        <w:rPr>
          <w:rFonts w:ascii="Times New Roman"/>
          <w:szCs w:val="21"/>
        </w:rPr>
      </w:pPr>
      <w:r>
        <w:rPr>
          <w:rFonts w:ascii="Times New Roman"/>
          <w:szCs w:val="21"/>
        </w:rPr>
        <w:t>本项目软件开发合同单价；</w:t>
      </w:r>
    </w:p>
    <w:p w14:paraId="1BDBA858">
      <w:pPr>
        <w:pStyle w:val="142"/>
        <w:numPr>
          <w:ilvl w:val="1"/>
          <w:numId w:val="21"/>
        </w:numPr>
        <w:spacing w:line="240" w:lineRule="auto"/>
        <w:ind w:left="0" w:firstLine="420"/>
        <w:rPr>
          <w:rFonts w:ascii="Times New Roman"/>
          <w:szCs w:val="21"/>
        </w:rPr>
      </w:pPr>
      <w:r>
        <w:rPr>
          <w:rFonts w:hint="eastAsia" w:ascii="Times New Roman"/>
          <w:szCs w:val="21"/>
        </w:rPr>
        <w:t>委托方</w:t>
      </w:r>
      <w:r>
        <w:rPr>
          <w:rFonts w:ascii="Times New Roman"/>
          <w:szCs w:val="21"/>
        </w:rPr>
        <w:t>同类项目综合人天单价；</w:t>
      </w:r>
    </w:p>
    <w:p w14:paraId="7842CEA5">
      <w:pPr>
        <w:pStyle w:val="142"/>
        <w:numPr>
          <w:ilvl w:val="1"/>
          <w:numId w:val="21"/>
        </w:numPr>
        <w:spacing w:line="240" w:lineRule="auto"/>
        <w:ind w:left="0" w:firstLine="420"/>
        <w:rPr>
          <w:rFonts w:ascii="Times New Roman"/>
          <w:szCs w:val="21"/>
        </w:rPr>
      </w:pPr>
      <w:r>
        <w:rPr>
          <w:rFonts w:hint="eastAsia" w:ascii="Times New Roman"/>
          <w:szCs w:val="21"/>
        </w:rPr>
        <w:t>委托方</w:t>
      </w:r>
      <w:r>
        <w:rPr>
          <w:rFonts w:ascii="Times New Roman"/>
          <w:szCs w:val="21"/>
        </w:rPr>
        <w:t>所有项目平均开发单价；</w:t>
      </w:r>
    </w:p>
    <w:p w14:paraId="3C125D2B">
      <w:pPr>
        <w:pStyle w:val="142"/>
        <w:numPr>
          <w:ilvl w:val="1"/>
          <w:numId w:val="21"/>
        </w:numPr>
        <w:spacing w:line="240" w:lineRule="auto"/>
        <w:ind w:left="0" w:firstLine="420"/>
        <w:rPr>
          <w:rFonts w:ascii="Times New Roman"/>
          <w:szCs w:val="21"/>
        </w:rPr>
      </w:pPr>
      <w:r>
        <w:rPr>
          <w:rFonts w:ascii="Times New Roman"/>
          <w:szCs w:val="21"/>
        </w:rPr>
        <w:t>中国软件行业基准数据人月费率。</w:t>
      </w:r>
    </w:p>
    <w:p w14:paraId="65619ECF">
      <w:pPr>
        <w:pStyle w:val="142"/>
        <w:spacing w:line="240" w:lineRule="auto"/>
        <w:ind w:firstLine="420"/>
        <w:rPr>
          <w:rFonts w:ascii="Times New Roman"/>
          <w:b/>
          <w:bCs/>
        </w:rPr>
      </w:pPr>
      <w:r>
        <w:rPr>
          <w:rFonts w:ascii="Times New Roman"/>
          <w:szCs w:val="21"/>
        </w:rPr>
        <w:t>直接非人力成本：以GB/T 36964为基准，与委托方确认。</w:t>
      </w:r>
    </w:p>
    <w:p w14:paraId="0CBBC504">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黑体" w:hAnsi="黑体" w:eastAsia="黑体" w:cs="黑体"/>
          <w:szCs w:val="21"/>
          <w:lang w:val="en-US" w:eastAsia="zh-CN"/>
        </w:rPr>
      </w:pPr>
      <w:r>
        <w:rPr>
          <w:rFonts w:hint="eastAsia" w:ascii="黑体" w:hAnsi="黑体" w:eastAsia="黑体" w:cs="黑体"/>
          <w:szCs w:val="21"/>
          <w:lang w:val="en-US" w:eastAsia="zh-CN"/>
        </w:rPr>
        <w:t>6.4 度量报告生成</w:t>
      </w:r>
    </w:p>
    <w:p w14:paraId="54DFE979">
      <w:pPr>
        <w:pStyle w:val="142"/>
        <w:ind w:firstLine="0" w:firstLineChars="0"/>
        <w:rPr>
          <w:rFonts w:ascii="Times New Roman"/>
          <w:szCs w:val="21"/>
        </w:rPr>
      </w:pPr>
      <w:r>
        <w:rPr>
          <w:rFonts w:hint="eastAsia" w:ascii="黑体" w:hAnsi="黑体" w:eastAsia="黑体" w:cs="黑体"/>
          <w:szCs w:val="21"/>
        </w:rPr>
        <w:t>6.</w:t>
      </w:r>
      <w:r>
        <w:rPr>
          <w:rFonts w:hint="eastAsia" w:ascii="黑体" w:hAnsi="黑体" w:eastAsia="黑体" w:cs="黑体"/>
          <w:szCs w:val="21"/>
          <w:lang w:val="en-US" w:eastAsia="zh-CN"/>
        </w:rPr>
        <w:t>4</w:t>
      </w:r>
      <w:r>
        <w:rPr>
          <w:rFonts w:hint="eastAsia" w:ascii="黑体" w:hAnsi="黑体" w:eastAsia="黑体" w:cs="黑体"/>
          <w:szCs w:val="21"/>
        </w:rPr>
        <w:t xml:space="preserve">.1 </w:t>
      </w:r>
      <w:r>
        <w:rPr>
          <w:rFonts w:hint="eastAsia" w:ascii="Times New Roman"/>
          <w:szCs w:val="21"/>
        </w:rPr>
        <w:t xml:space="preserve"> </w:t>
      </w:r>
      <w:r>
        <w:rPr>
          <w:rFonts w:ascii="Times New Roman"/>
          <w:szCs w:val="21"/>
        </w:rPr>
        <w:t>项目完成度量后应输出度量报告，报告内容应包括（但不限于）：</w:t>
      </w:r>
      <w:r>
        <w:rPr>
          <w:rFonts w:hint="eastAsia" w:ascii="Times New Roman"/>
          <w:szCs w:val="21"/>
        </w:rPr>
        <w:t>（与后面的模板保持一致）</w:t>
      </w:r>
    </w:p>
    <w:p w14:paraId="2583B583">
      <w:pPr>
        <w:pStyle w:val="142"/>
        <w:numPr>
          <w:ilvl w:val="2"/>
          <w:numId w:val="22"/>
        </w:numPr>
        <w:tabs>
          <w:tab w:val="left" w:pos="420"/>
          <w:tab w:val="clear" w:pos="1260"/>
        </w:tabs>
        <w:ind w:left="0" w:firstLine="420"/>
        <w:rPr>
          <w:rFonts w:ascii="Times New Roman"/>
          <w:szCs w:val="21"/>
        </w:rPr>
      </w:pPr>
      <w:r>
        <w:rPr>
          <w:rFonts w:ascii="Times New Roman"/>
          <w:szCs w:val="21"/>
        </w:rPr>
        <w:t>基本信息：项目名称、委托方、评估方、评估人员及资质（可选）、评估日期等；</w:t>
      </w:r>
    </w:p>
    <w:p w14:paraId="0EB28FB1">
      <w:pPr>
        <w:pStyle w:val="142"/>
        <w:numPr>
          <w:ilvl w:val="2"/>
          <w:numId w:val="22"/>
        </w:numPr>
        <w:tabs>
          <w:tab w:val="left" w:pos="420"/>
          <w:tab w:val="clear" w:pos="1260"/>
        </w:tabs>
        <w:ind w:left="0" w:firstLine="420"/>
        <w:rPr>
          <w:rFonts w:ascii="Times New Roman"/>
          <w:szCs w:val="21"/>
        </w:rPr>
      </w:pPr>
      <w:r>
        <w:rPr>
          <w:rFonts w:ascii="Times New Roman"/>
          <w:szCs w:val="21"/>
        </w:rPr>
        <w:t>项目信息：项目背景、</w:t>
      </w:r>
      <w:r>
        <w:rPr>
          <w:rFonts w:hint="eastAsia" w:ascii="Times New Roman"/>
          <w:szCs w:val="21"/>
        </w:rPr>
        <w:t>度量</w:t>
      </w:r>
      <w:r>
        <w:rPr>
          <w:rFonts w:ascii="Times New Roman"/>
          <w:szCs w:val="21"/>
        </w:rPr>
        <w:t>范围等；</w:t>
      </w:r>
    </w:p>
    <w:p w14:paraId="45DF0F2C">
      <w:pPr>
        <w:pStyle w:val="142"/>
        <w:numPr>
          <w:ilvl w:val="2"/>
          <w:numId w:val="22"/>
        </w:numPr>
        <w:tabs>
          <w:tab w:val="left" w:pos="420"/>
          <w:tab w:val="clear" w:pos="1260"/>
        </w:tabs>
        <w:ind w:left="0" w:firstLine="420"/>
        <w:rPr>
          <w:rFonts w:ascii="Times New Roman"/>
          <w:szCs w:val="21"/>
        </w:rPr>
      </w:pPr>
      <w:r>
        <w:rPr>
          <w:rFonts w:ascii="Times New Roman"/>
          <w:szCs w:val="21"/>
        </w:rPr>
        <w:t>度量概况：度量目的和范围、度量依据/技术/方法描述；</w:t>
      </w:r>
    </w:p>
    <w:p w14:paraId="42532802">
      <w:pPr>
        <w:pStyle w:val="142"/>
        <w:numPr>
          <w:ilvl w:val="2"/>
          <w:numId w:val="22"/>
        </w:numPr>
        <w:tabs>
          <w:tab w:val="left" w:pos="420"/>
          <w:tab w:val="clear" w:pos="1260"/>
        </w:tabs>
        <w:ind w:left="0" w:firstLine="420"/>
        <w:rPr>
          <w:rFonts w:ascii="Times New Roman"/>
          <w:szCs w:val="21"/>
        </w:rPr>
      </w:pPr>
      <w:r>
        <w:rPr>
          <w:rFonts w:ascii="Times New Roman"/>
          <w:szCs w:val="21"/>
        </w:rPr>
        <w:t>度量过程：规模度量、工作量度量、成本度量、调整因子取值说明、度量结论等；</w:t>
      </w:r>
    </w:p>
    <w:p w14:paraId="3C679A5B">
      <w:pPr>
        <w:pStyle w:val="142"/>
        <w:numPr>
          <w:ilvl w:val="2"/>
          <w:numId w:val="22"/>
        </w:numPr>
        <w:tabs>
          <w:tab w:val="left" w:pos="420"/>
          <w:tab w:val="clear" w:pos="1260"/>
        </w:tabs>
        <w:ind w:left="0" w:firstLine="420"/>
        <w:rPr>
          <w:rFonts w:ascii="Times New Roman"/>
          <w:szCs w:val="21"/>
        </w:rPr>
      </w:pPr>
      <w:r>
        <w:rPr>
          <w:rFonts w:ascii="Times New Roman"/>
          <w:szCs w:val="21"/>
        </w:rPr>
        <w:t>其他事项说明：委托方与评估方责任声明等。</w:t>
      </w:r>
    </w:p>
    <w:p w14:paraId="67099C8D">
      <w:pPr>
        <w:pStyle w:val="142"/>
        <w:tabs>
          <w:tab w:val="left" w:pos="420"/>
        </w:tabs>
        <w:ind w:firstLine="0" w:firstLineChars="0"/>
        <w:rPr>
          <w:rFonts w:ascii="Times New Roman"/>
          <w:szCs w:val="21"/>
        </w:rPr>
      </w:pPr>
    </w:p>
    <w:p w14:paraId="0F622792">
      <w:pPr>
        <w:pStyle w:val="142"/>
        <w:tabs>
          <w:tab w:val="left" w:pos="420"/>
        </w:tabs>
        <w:ind w:firstLine="0" w:firstLineChars="0"/>
        <w:rPr>
          <w:rFonts w:ascii="Times New Roman"/>
          <w:szCs w:val="21"/>
        </w:rPr>
      </w:pPr>
    </w:p>
    <w:p w14:paraId="2C3AA5FE">
      <w:pPr>
        <w:pStyle w:val="142"/>
        <w:tabs>
          <w:tab w:val="left" w:pos="420"/>
        </w:tabs>
        <w:ind w:firstLine="0" w:firstLineChars="0"/>
        <w:rPr>
          <w:rFonts w:ascii="Times New Roman"/>
          <w:szCs w:val="21"/>
        </w:rPr>
      </w:pPr>
    </w:p>
    <w:p w14:paraId="64FEFA1E">
      <w:pPr>
        <w:pStyle w:val="142"/>
        <w:tabs>
          <w:tab w:val="left" w:pos="420"/>
        </w:tabs>
        <w:ind w:firstLine="0" w:firstLineChars="0"/>
        <w:rPr>
          <w:rFonts w:ascii="Times New Roman"/>
          <w:szCs w:val="21"/>
        </w:rPr>
      </w:pPr>
    </w:p>
    <w:p w14:paraId="65643CB0">
      <w:pPr>
        <w:pStyle w:val="142"/>
        <w:tabs>
          <w:tab w:val="left" w:pos="420"/>
        </w:tabs>
        <w:ind w:firstLine="0" w:firstLineChars="0"/>
        <w:rPr>
          <w:rFonts w:ascii="Times New Roman"/>
          <w:szCs w:val="21"/>
        </w:rPr>
      </w:pPr>
    </w:p>
    <w:p w14:paraId="4A5CBD76">
      <w:pPr>
        <w:pStyle w:val="142"/>
        <w:tabs>
          <w:tab w:val="left" w:pos="420"/>
        </w:tabs>
        <w:ind w:firstLine="0" w:firstLineChars="0"/>
        <w:rPr>
          <w:rFonts w:ascii="Times New Roman"/>
          <w:szCs w:val="21"/>
        </w:rPr>
      </w:pPr>
    </w:p>
    <w:p w14:paraId="6EFB31EF">
      <w:pPr>
        <w:pStyle w:val="142"/>
        <w:tabs>
          <w:tab w:val="left" w:pos="420"/>
        </w:tabs>
        <w:ind w:firstLine="0" w:firstLineChars="0"/>
        <w:rPr>
          <w:rFonts w:ascii="Times New Roman"/>
          <w:szCs w:val="21"/>
        </w:rPr>
      </w:pPr>
    </w:p>
    <w:p w14:paraId="097F6F44">
      <w:pPr>
        <w:pStyle w:val="142"/>
        <w:tabs>
          <w:tab w:val="left" w:pos="420"/>
        </w:tabs>
        <w:ind w:firstLine="0" w:firstLineChars="0"/>
        <w:rPr>
          <w:rFonts w:ascii="Times New Roman"/>
          <w:szCs w:val="21"/>
        </w:rPr>
      </w:pPr>
    </w:p>
    <w:p w14:paraId="65E12B73">
      <w:pPr>
        <w:pStyle w:val="142"/>
        <w:tabs>
          <w:tab w:val="left" w:pos="420"/>
        </w:tabs>
        <w:ind w:firstLine="0" w:firstLineChars="0"/>
        <w:rPr>
          <w:rFonts w:ascii="Times New Roman"/>
          <w:szCs w:val="21"/>
        </w:rPr>
      </w:pPr>
    </w:p>
    <w:p w14:paraId="4E9ABD87">
      <w:pPr>
        <w:pStyle w:val="142"/>
        <w:tabs>
          <w:tab w:val="left" w:pos="420"/>
        </w:tabs>
        <w:ind w:firstLine="0" w:firstLineChars="0"/>
        <w:rPr>
          <w:rFonts w:ascii="Times New Roman"/>
          <w:szCs w:val="21"/>
        </w:rPr>
      </w:pPr>
    </w:p>
    <w:p w14:paraId="18956A1A">
      <w:pPr>
        <w:pStyle w:val="142"/>
        <w:tabs>
          <w:tab w:val="left" w:pos="420"/>
        </w:tabs>
        <w:ind w:firstLine="0" w:firstLineChars="0"/>
        <w:rPr>
          <w:rFonts w:ascii="Times New Roman"/>
          <w:szCs w:val="21"/>
        </w:rPr>
      </w:pPr>
    </w:p>
    <w:p w14:paraId="1AB3A24C">
      <w:pPr>
        <w:pStyle w:val="142"/>
        <w:tabs>
          <w:tab w:val="left" w:pos="420"/>
        </w:tabs>
        <w:ind w:firstLine="0" w:firstLineChars="0"/>
        <w:rPr>
          <w:rFonts w:ascii="Times New Roman"/>
          <w:szCs w:val="21"/>
        </w:rPr>
      </w:pPr>
    </w:p>
    <w:p w14:paraId="29D55FD3">
      <w:pPr>
        <w:pStyle w:val="142"/>
        <w:tabs>
          <w:tab w:val="left" w:pos="420"/>
        </w:tabs>
        <w:ind w:firstLine="0" w:firstLineChars="0"/>
        <w:rPr>
          <w:rFonts w:ascii="Times New Roman"/>
          <w:szCs w:val="21"/>
        </w:rPr>
      </w:pPr>
    </w:p>
    <w:p w14:paraId="038BB164">
      <w:pPr>
        <w:pStyle w:val="142"/>
        <w:tabs>
          <w:tab w:val="left" w:pos="420"/>
        </w:tabs>
        <w:ind w:firstLine="0" w:firstLineChars="0"/>
        <w:rPr>
          <w:rFonts w:ascii="Times New Roman"/>
          <w:szCs w:val="21"/>
        </w:rPr>
      </w:pPr>
    </w:p>
    <w:p w14:paraId="65FF9100">
      <w:pPr>
        <w:pStyle w:val="142"/>
        <w:tabs>
          <w:tab w:val="left" w:pos="420"/>
        </w:tabs>
        <w:ind w:firstLine="0" w:firstLineChars="0"/>
        <w:rPr>
          <w:rFonts w:ascii="Times New Roman"/>
          <w:szCs w:val="21"/>
        </w:rPr>
      </w:pPr>
    </w:p>
    <w:p w14:paraId="442F4A26">
      <w:pPr>
        <w:pStyle w:val="142"/>
        <w:tabs>
          <w:tab w:val="left" w:pos="420"/>
        </w:tabs>
        <w:ind w:firstLine="0" w:firstLineChars="0"/>
        <w:rPr>
          <w:rFonts w:ascii="Times New Roman"/>
          <w:szCs w:val="21"/>
        </w:rPr>
      </w:pPr>
    </w:p>
    <w:p w14:paraId="4271C63E">
      <w:pPr>
        <w:pStyle w:val="142"/>
        <w:tabs>
          <w:tab w:val="left" w:pos="420"/>
        </w:tabs>
        <w:ind w:firstLine="0" w:firstLineChars="0"/>
        <w:rPr>
          <w:rFonts w:ascii="Times New Roman"/>
          <w:szCs w:val="21"/>
        </w:rPr>
      </w:pPr>
    </w:p>
    <w:p w14:paraId="220C4D85">
      <w:pPr>
        <w:pStyle w:val="142"/>
        <w:tabs>
          <w:tab w:val="left" w:pos="420"/>
        </w:tabs>
        <w:ind w:firstLine="0" w:firstLineChars="0"/>
        <w:rPr>
          <w:rFonts w:ascii="Times New Roman"/>
          <w:szCs w:val="21"/>
        </w:rPr>
      </w:pPr>
    </w:p>
    <w:p w14:paraId="525CEAEA">
      <w:pPr>
        <w:pStyle w:val="142"/>
        <w:tabs>
          <w:tab w:val="left" w:pos="420"/>
        </w:tabs>
        <w:ind w:firstLine="0" w:firstLineChars="0"/>
        <w:rPr>
          <w:rFonts w:ascii="Times New Roman"/>
          <w:szCs w:val="21"/>
        </w:rPr>
      </w:pPr>
    </w:p>
    <w:p w14:paraId="7FC4BD7F">
      <w:pPr>
        <w:pStyle w:val="142"/>
        <w:tabs>
          <w:tab w:val="left" w:pos="420"/>
        </w:tabs>
        <w:ind w:firstLine="0" w:firstLineChars="0"/>
        <w:rPr>
          <w:rFonts w:ascii="Times New Roman"/>
          <w:szCs w:val="21"/>
        </w:rPr>
      </w:pPr>
    </w:p>
    <w:p w14:paraId="0D0E66F0">
      <w:pPr>
        <w:pStyle w:val="142"/>
        <w:tabs>
          <w:tab w:val="left" w:pos="420"/>
        </w:tabs>
        <w:ind w:firstLine="0" w:firstLineChars="0"/>
        <w:rPr>
          <w:rFonts w:ascii="Times New Roman"/>
          <w:szCs w:val="21"/>
        </w:rPr>
      </w:pPr>
    </w:p>
    <w:p w14:paraId="2F9AB404">
      <w:pPr>
        <w:pStyle w:val="142"/>
        <w:tabs>
          <w:tab w:val="left" w:pos="420"/>
        </w:tabs>
        <w:ind w:firstLine="0" w:firstLineChars="0"/>
        <w:rPr>
          <w:rFonts w:ascii="Times New Roman"/>
          <w:szCs w:val="21"/>
        </w:rPr>
      </w:pPr>
    </w:p>
    <w:p w14:paraId="3550CE06">
      <w:pPr>
        <w:pStyle w:val="142"/>
        <w:tabs>
          <w:tab w:val="left" w:pos="420"/>
        </w:tabs>
        <w:ind w:firstLine="0" w:firstLineChars="0"/>
        <w:rPr>
          <w:rFonts w:ascii="Times New Roman"/>
          <w:szCs w:val="21"/>
        </w:rPr>
      </w:pPr>
    </w:p>
    <w:p w14:paraId="35EDEC91">
      <w:pPr>
        <w:pStyle w:val="142"/>
        <w:tabs>
          <w:tab w:val="left" w:pos="420"/>
        </w:tabs>
        <w:ind w:firstLine="0" w:firstLineChars="0"/>
        <w:rPr>
          <w:rFonts w:ascii="Times New Roman"/>
          <w:szCs w:val="21"/>
        </w:rPr>
      </w:pPr>
    </w:p>
    <w:p w14:paraId="1944DBCF">
      <w:pPr>
        <w:pStyle w:val="142"/>
        <w:tabs>
          <w:tab w:val="left" w:pos="420"/>
        </w:tabs>
        <w:ind w:firstLine="0" w:firstLineChars="0"/>
        <w:rPr>
          <w:rFonts w:ascii="Times New Roman"/>
          <w:szCs w:val="21"/>
        </w:rPr>
      </w:pPr>
    </w:p>
    <w:p w14:paraId="4DB740C8">
      <w:pPr>
        <w:pStyle w:val="142"/>
        <w:tabs>
          <w:tab w:val="left" w:pos="420"/>
        </w:tabs>
        <w:ind w:firstLine="0" w:firstLineChars="0"/>
        <w:rPr>
          <w:rFonts w:ascii="Times New Roman"/>
          <w:szCs w:val="21"/>
        </w:rPr>
      </w:pPr>
    </w:p>
    <w:p w14:paraId="232E87A0">
      <w:pPr>
        <w:pStyle w:val="142"/>
        <w:tabs>
          <w:tab w:val="left" w:pos="420"/>
        </w:tabs>
        <w:ind w:firstLine="0" w:firstLineChars="0"/>
        <w:rPr>
          <w:rFonts w:ascii="Times New Roman"/>
          <w:szCs w:val="21"/>
        </w:rPr>
      </w:pPr>
    </w:p>
    <w:p w14:paraId="6997E17E">
      <w:pPr>
        <w:pStyle w:val="84"/>
        <w:pageBreakBefore/>
        <w:numPr>
          <w:ilvl w:val="0"/>
          <w:numId w:val="0"/>
        </w:numPr>
        <w:shd w:val="clear" w:color="FFFFFF" w:fill="FFFFFF"/>
        <w:tabs>
          <w:tab w:val="clear" w:pos="360"/>
        </w:tabs>
        <w:spacing w:before="0" w:after="0"/>
        <w:rPr>
          <w:rFonts w:hint="eastAsia" w:hAnsi="Times New Roman" w:cs="Times New Roman"/>
        </w:rPr>
      </w:pPr>
      <w:bookmarkStart w:id="34" w:name="_Toc6250"/>
      <w:r>
        <w:rPr>
          <w:rFonts w:hint="eastAsia" w:hAnsi="Times New Roman" w:cs="Times New Roman"/>
        </w:rPr>
        <w:br w:type="textWrapping"/>
      </w:r>
      <w:r>
        <w:rPr>
          <w:rFonts w:hint="eastAsia" w:hAnsi="Times New Roman" w:cs="Times New Roman"/>
        </w:rPr>
        <w:t>附　录　A</w:t>
      </w:r>
      <w:r>
        <w:rPr>
          <w:rFonts w:hint="eastAsia" w:hAnsi="Times New Roman" w:cs="Times New Roman"/>
        </w:rPr>
        <w:br w:type="textWrapping"/>
      </w:r>
      <w:bookmarkStart w:id="35" w:name="_Toc166672674"/>
      <w:bookmarkStart w:id="36" w:name="_Toc168328409"/>
      <w:r>
        <w:rPr>
          <w:rFonts w:hint="eastAsia" w:hAnsi="Times New Roman" w:cs="Times New Roman"/>
        </w:rPr>
        <w:t>（资料性）</w:t>
      </w:r>
      <w:r>
        <w:rPr>
          <w:rFonts w:hint="eastAsia" w:hAnsi="Times New Roman" w:cs="Times New Roman"/>
        </w:rPr>
        <w:br w:type="textWrapping"/>
      </w:r>
      <w:bookmarkEnd w:id="34"/>
      <w:bookmarkEnd w:id="35"/>
      <w:bookmarkEnd w:id="36"/>
      <w:r>
        <w:rPr>
          <w:rFonts w:hint="eastAsia" w:hAnsi="Times New Roman" w:cs="Times New Roman"/>
        </w:rPr>
        <w:t>需求说明文档模板</w:t>
      </w:r>
    </w:p>
    <w:p w14:paraId="70EDEB8D">
      <w:pPr>
        <w:keepNext w:val="0"/>
        <w:keepLines w:val="0"/>
        <w:pageBreakBefore w:val="0"/>
        <w:widowControl w:val="0"/>
        <w:kinsoku/>
        <w:wordWrap/>
        <w:overflowPunct/>
        <w:topLinePunct w:val="0"/>
        <w:autoSpaceDE w:val="0"/>
        <w:autoSpaceDN w:val="0"/>
        <w:bidi w:val="0"/>
        <w:adjustRightInd/>
        <w:snapToGrid/>
        <w:spacing w:before="313" w:beforeLines="100" w:after="313" w:afterLines="100" w:line="240" w:lineRule="auto"/>
        <w:textAlignment w:val="auto"/>
        <w:rPr>
          <w:rFonts w:ascii="黑体" w:hAnsi="黑体" w:eastAsia="黑体" w:cs="黑体"/>
          <w:bCs/>
          <w:kern w:val="44"/>
          <w:szCs w:val="21"/>
        </w:rPr>
      </w:pPr>
      <w:bookmarkStart w:id="37" w:name="_Toc3639"/>
      <w:bookmarkStart w:id="38" w:name="_Toc28113"/>
      <w:bookmarkStart w:id="39" w:name="_Toc19262"/>
      <w:bookmarkStart w:id="40" w:name="_Toc524356259"/>
      <w:bookmarkStart w:id="41" w:name="_Toc499565923"/>
      <w:bookmarkStart w:id="42" w:name="_Toc530153167"/>
      <w:bookmarkStart w:id="43" w:name="_Toc70"/>
      <w:bookmarkStart w:id="44" w:name="_Toc13148"/>
      <w:bookmarkStart w:id="45" w:name="_Toc529872294"/>
      <w:bookmarkStart w:id="46" w:name="_Toc7453"/>
      <w:r>
        <w:rPr>
          <w:rFonts w:hint="eastAsia" w:ascii="黑体" w:hAnsi="黑体" w:eastAsia="黑体" w:cs="黑体"/>
          <w:bCs/>
          <w:kern w:val="44"/>
          <w:szCs w:val="21"/>
        </w:rPr>
        <w:t>A.1 需求说明</w:t>
      </w:r>
      <w:bookmarkEnd w:id="37"/>
      <w:bookmarkEnd w:id="38"/>
    </w:p>
    <w:bookmarkEnd w:id="39"/>
    <w:bookmarkEnd w:id="40"/>
    <w:bookmarkEnd w:id="41"/>
    <w:bookmarkEnd w:id="42"/>
    <w:bookmarkEnd w:id="43"/>
    <w:bookmarkEnd w:id="44"/>
    <w:bookmarkEnd w:id="45"/>
    <w:bookmarkEnd w:id="46"/>
    <w:p w14:paraId="0C37CA1B">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bookmarkStart w:id="47" w:name="_Toc12116"/>
      <w:bookmarkStart w:id="48" w:name="_Toc1480"/>
      <w:bookmarkStart w:id="49" w:name="_Toc7400"/>
      <w:bookmarkStart w:id="50" w:name="_Toc20074"/>
      <w:bookmarkStart w:id="51" w:name="_Toc5237"/>
      <w:bookmarkStart w:id="52" w:name="_Toc12644"/>
      <w:bookmarkStart w:id="53" w:name="_Toc2711"/>
      <w:r>
        <w:rPr>
          <w:rFonts w:hint="eastAsia" w:ascii="黑体" w:hAnsi="黑体" w:eastAsia="黑体" w:cs="黑体"/>
          <w:bCs/>
          <w:kern w:val="44"/>
          <w:szCs w:val="21"/>
        </w:rPr>
        <w:t>A.1.1</w:t>
      </w:r>
      <w:r>
        <w:rPr>
          <w:rFonts w:hint="eastAsia" w:ascii="黑体" w:hAnsi="黑体" w:eastAsia="黑体" w:cs="黑体"/>
          <w:bCs/>
          <w:kern w:val="44"/>
          <w:szCs w:val="21"/>
          <w:lang w:val="en-US" w:eastAsia="zh-CN"/>
        </w:rPr>
        <w:t xml:space="preserve"> </w:t>
      </w:r>
      <w:r>
        <w:rPr>
          <w:rFonts w:hint="eastAsia" w:ascii="黑体" w:hAnsi="黑体" w:eastAsia="黑体" w:cs="黑体"/>
          <w:bCs/>
          <w:kern w:val="44"/>
          <w:szCs w:val="21"/>
        </w:rPr>
        <w:t>总体描述</w:t>
      </w:r>
      <w:bookmarkEnd w:id="47"/>
      <w:bookmarkEnd w:id="48"/>
    </w:p>
    <w:p w14:paraId="1B267652">
      <w:pPr>
        <w:pStyle w:val="142"/>
        <w:spacing w:line="240" w:lineRule="auto"/>
        <w:ind w:firstLine="420"/>
        <w:rPr>
          <w:rFonts w:ascii="Times New Roman"/>
        </w:rPr>
      </w:pPr>
      <w:r>
        <w:rPr>
          <w:rFonts w:ascii="Times New Roman"/>
        </w:rPr>
        <w:t>请在此处说明本项目需求的概要内容。</w:t>
      </w:r>
    </w:p>
    <w:p w14:paraId="3E5A69C7">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bookmarkStart w:id="54" w:name="_Toc11935"/>
      <w:bookmarkStart w:id="55" w:name="_Toc23374"/>
      <w:r>
        <w:rPr>
          <w:rFonts w:hint="eastAsia" w:ascii="黑体" w:hAnsi="黑体" w:eastAsia="黑体" w:cs="黑体"/>
          <w:bCs/>
          <w:kern w:val="44"/>
          <w:szCs w:val="21"/>
        </w:rPr>
        <w:t>A.1.2 建设目标</w:t>
      </w:r>
      <w:bookmarkEnd w:id="54"/>
      <w:bookmarkEnd w:id="55"/>
    </w:p>
    <w:p w14:paraId="008D956A">
      <w:pPr>
        <w:pStyle w:val="142"/>
        <w:spacing w:line="240" w:lineRule="auto"/>
        <w:ind w:firstLine="420"/>
        <w:rPr>
          <w:rFonts w:ascii="Times New Roman"/>
        </w:rPr>
      </w:pPr>
      <w:r>
        <w:rPr>
          <w:rFonts w:ascii="Times New Roman"/>
        </w:rPr>
        <w:t>请在此处详细描述本项目需求的建设目标。</w:t>
      </w:r>
    </w:p>
    <w:p w14:paraId="175CBB7B">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bookmarkStart w:id="56" w:name="_Toc16238"/>
      <w:bookmarkStart w:id="57" w:name="_Toc17674"/>
      <w:r>
        <w:rPr>
          <w:rFonts w:hint="eastAsia" w:ascii="黑体" w:hAnsi="黑体" w:eastAsia="黑体" w:cs="黑体"/>
          <w:bCs/>
          <w:kern w:val="44"/>
          <w:szCs w:val="21"/>
        </w:rPr>
        <w:t>A.1.3 建设必要性</w:t>
      </w:r>
      <w:bookmarkEnd w:id="56"/>
      <w:bookmarkEnd w:id="57"/>
    </w:p>
    <w:p w14:paraId="388FBC4B">
      <w:pPr>
        <w:pStyle w:val="142"/>
        <w:spacing w:line="240" w:lineRule="auto"/>
        <w:ind w:firstLine="420"/>
        <w:rPr>
          <w:rFonts w:ascii="Times New Roman"/>
        </w:rPr>
      </w:pPr>
      <w:r>
        <w:rPr>
          <w:rFonts w:ascii="Times New Roman"/>
        </w:rPr>
        <w:t>请在此处详细描述本项目需求的建设必要性。</w:t>
      </w:r>
    </w:p>
    <w:bookmarkEnd w:id="49"/>
    <w:bookmarkEnd w:id="50"/>
    <w:bookmarkEnd w:id="51"/>
    <w:bookmarkEnd w:id="52"/>
    <w:bookmarkEnd w:id="53"/>
    <w:p w14:paraId="36AAE41C">
      <w:pPr>
        <w:keepNext w:val="0"/>
        <w:keepLines w:val="0"/>
        <w:pageBreakBefore w:val="0"/>
        <w:widowControl w:val="0"/>
        <w:kinsoku/>
        <w:wordWrap/>
        <w:overflowPunct/>
        <w:topLinePunct w:val="0"/>
        <w:autoSpaceDE w:val="0"/>
        <w:autoSpaceDN w:val="0"/>
        <w:bidi w:val="0"/>
        <w:adjustRightInd/>
        <w:snapToGrid/>
        <w:spacing w:before="313" w:beforeLines="100" w:after="313" w:afterLines="100" w:line="240" w:lineRule="auto"/>
        <w:textAlignment w:val="auto"/>
        <w:rPr>
          <w:rFonts w:hint="eastAsia" w:ascii="黑体" w:hAnsi="黑体" w:eastAsia="黑体" w:cs="黑体"/>
          <w:bCs/>
          <w:kern w:val="44"/>
          <w:szCs w:val="21"/>
        </w:rPr>
      </w:pPr>
      <w:bookmarkStart w:id="58" w:name="_Toc20565"/>
      <w:bookmarkStart w:id="59" w:name="_Toc28204"/>
      <w:bookmarkStart w:id="60" w:name="_Toc31108"/>
      <w:bookmarkStart w:id="61" w:name="_Toc30191"/>
      <w:bookmarkStart w:id="62" w:name="_Toc530153175"/>
      <w:bookmarkStart w:id="63" w:name="_Toc21672"/>
      <w:bookmarkStart w:id="64" w:name="_Toc529872302"/>
      <w:bookmarkStart w:id="65" w:name="_Toc800"/>
      <w:bookmarkStart w:id="66" w:name="_Toc499565931"/>
      <w:r>
        <w:rPr>
          <w:rFonts w:hint="eastAsia" w:ascii="黑体" w:hAnsi="黑体" w:eastAsia="黑体" w:cs="黑体"/>
          <w:bCs/>
          <w:kern w:val="44"/>
          <w:szCs w:val="21"/>
        </w:rPr>
        <w:t>A.2 系统现状</w:t>
      </w:r>
    </w:p>
    <w:p w14:paraId="6F8D8CAF">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A.2.1 系统概况</w:t>
      </w:r>
    </w:p>
    <w:p w14:paraId="3DC6D1EA">
      <w:pPr>
        <w:pStyle w:val="142"/>
        <w:keepNext w:val="0"/>
        <w:keepLines w:val="0"/>
        <w:pageBreakBefore w:val="0"/>
        <w:widowControl/>
        <w:kinsoku/>
        <w:wordWrap/>
        <w:overflowPunct/>
        <w:topLinePunct w:val="0"/>
        <w:autoSpaceDE w:val="0"/>
        <w:autoSpaceDN w:val="0"/>
        <w:bidi w:val="0"/>
        <w:adjustRightInd/>
        <w:snapToGrid/>
        <w:spacing w:line="240" w:lineRule="auto"/>
        <w:ind w:firstLine="420"/>
        <w:textAlignment w:val="auto"/>
        <w:rPr>
          <w:rFonts w:ascii="Times New Roman"/>
        </w:rPr>
      </w:pPr>
      <w:r>
        <w:rPr>
          <w:rFonts w:ascii="Times New Roman"/>
        </w:rPr>
        <w:t>请在此处对系统整体情况说明。</w:t>
      </w:r>
    </w:p>
    <w:p w14:paraId="33A458DB">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A.2.2 系统已实现功能</w:t>
      </w:r>
    </w:p>
    <w:p w14:paraId="54B6438C">
      <w:pPr>
        <w:pStyle w:val="142"/>
        <w:spacing w:line="240" w:lineRule="auto"/>
        <w:ind w:firstLine="420"/>
        <w:rPr>
          <w:rFonts w:ascii="Times New Roman"/>
        </w:rPr>
      </w:pPr>
      <w:r>
        <w:rPr>
          <w:rFonts w:ascii="Times New Roman"/>
        </w:rPr>
        <w:t>请在此处详细提供系统已实现功能情况、功能架构现状、已实现功能清单。</w:t>
      </w:r>
    </w:p>
    <w:p w14:paraId="49BB141F">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A.2.3 存在问题</w:t>
      </w:r>
    </w:p>
    <w:p w14:paraId="2A53D829">
      <w:pPr>
        <w:pStyle w:val="142"/>
        <w:spacing w:line="240" w:lineRule="auto"/>
        <w:ind w:firstLine="420"/>
        <w:rPr>
          <w:rFonts w:ascii="Times New Roman"/>
        </w:rPr>
      </w:pPr>
      <w:r>
        <w:rPr>
          <w:rFonts w:ascii="Times New Roman"/>
        </w:rPr>
        <w:t>请在此处详细描述系统目前存在的问题。</w:t>
      </w:r>
    </w:p>
    <w:p w14:paraId="21F0A751">
      <w:pPr>
        <w:keepNext w:val="0"/>
        <w:keepLines w:val="0"/>
        <w:pageBreakBefore w:val="0"/>
        <w:widowControl w:val="0"/>
        <w:kinsoku/>
        <w:wordWrap/>
        <w:overflowPunct/>
        <w:topLinePunct w:val="0"/>
        <w:autoSpaceDE w:val="0"/>
        <w:autoSpaceDN w:val="0"/>
        <w:bidi w:val="0"/>
        <w:adjustRightInd/>
        <w:snapToGrid/>
        <w:spacing w:before="313" w:beforeLines="100" w:after="313" w:afterLines="10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A.3 功能架构图</w:t>
      </w:r>
      <w:bookmarkEnd w:id="58"/>
      <w:bookmarkEnd w:id="59"/>
    </w:p>
    <w:p w14:paraId="1823FC9F">
      <w:pPr>
        <w:pStyle w:val="142"/>
        <w:spacing w:line="240" w:lineRule="auto"/>
        <w:ind w:firstLine="0" w:firstLineChars="0"/>
        <w:rPr>
          <w:rFonts w:ascii="Times New Roman"/>
        </w:rPr>
      </w:pPr>
      <w:r>
        <w:rPr>
          <w:rFonts w:hint="eastAsia" w:ascii="黑体" w:hAnsi="黑体" w:eastAsia="黑体" w:cs="黑体"/>
        </w:rPr>
        <w:t xml:space="preserve">A.3.1  </w:t>
      </w:r>
      <w:r>
        <w:rPr>
          <w:rFonts w:ascii="Times New Roman"/>
        </w:rPr>
        <w:t>请将本期项目需求的功能架构图贴至此处，且功能架构图需符合以下条件：</w:t>
      </w:r>
    </w:p>
    <w:p w14:paraId="0AA2930B">
      <w:pPr>
        <w:pStyle w:val="142"/>
        <w:spacing w:line="240" w:lineRule="auto"/>
        <w:ind w:firstLine="0" w:firstLineChars="0"/>
        <w:rPr>
          <w:rFonts w:ascii="Times New Roman"/>
        </w:rPr>
      </w:pPr>
      <w:r>
        <w:rPr>
          <w:rFonts w:hint="eastAsia" w:ascii="黑体" w:hAnsi="黑体" w:eastAsia="黑体" w:cs="黑体"/>
        </w:rPr>
        <w:t xml:space="preserve">A.3.2  </w:t>
      </w:r>
      <w:r>
        <w:rPr>
          <w:rFonts w:ascii="Times New Roman"/>
        </w:rPr>
        <w:t>功能架构图要分层分域。</w:t>
      </w:r>
    </w:p>
    <w:p w14:paraId="1B7A366D">
      <w:pPr>
        <w:pStyle w:val="142"/>
        <w:spacing w:line="240" w:lineRule="auto"/>
        <w:ind w:firstLine="0" w:firstLineChars="0"/>
        <w:rPr>
          <w:rFonts w:ascii="Times New Roman"/>
        </w:rPr>
      </w:pPr>
      <w:r>
        <w:rPr>
          <w:rFonts w:hint="eastAsia" w:ascii="黑体" w:hAnsi="黑体" w:eastAsia="黑体" w:cs="黑体"/>
        </w:rPr>
        <w:t xml:space="preserve">A.3.3  </w:t>
      </w:r>
      <w:r>
        <w:rPr>
          <w:rFonts w:ascii="Times New Roman"/>
        </w:rPr>
        <w:t>在功能架构图中标明本期项目涉及模块属于新增或优化类型，新增模块用红色字体表示，优化模块用蓝色字体表示，已有模块用黑色字体表示。</w:t>
      </w:r>
    </w:p>
    <w:p w14:paraId="61E72E39">
      <w:pPr>
        <w:keepNext w:val="0"/>
        <w:keepLines w:val="0"/>
        <w:pageBreakBefore w:val="0"/>
        <w:widowControl w:val="0"/>
        <w:kinsoku/>
        <w:wordWrap/>
        <w:overflowPunct/>
        <w:topLinePunct w:val="0"/>
        <w:autoSpaceDE w:val="0"/>
        <w:autoSpaceDN w:val="0"/>
        <w:bidi w:val="0"/>
        <w:adjustRightInd/>
        <w:snapToGrid/>
        <w:spacing w:before="313" w:beforeLines="100" w:after="313" w:afterLines="100" w:line="240" w:lineRule="auto"/>
        <w:textAlignment w:val="auto"/>
        <w:rPr>
          <w:rFonts w:hint="eastAsia" w:ascii="黑体" w:hAnsi="黑体" w:eastAsia="黑体" w:cs="黑体"/>
          <w:bCs/>
          <w:kern w:val="44"/>
          <w:szCs w:val="21"/>
        </w:rPr>
      </w:pPr>
      <w:bookmarkStart w:id="67" w:name="_Toc29958"/>
      <w:bookmarkStart w:id="68" w:name="_Toc24705"/>
      <w:r>
        <w:rPr>
          <w:rFonts w:hint="eastAsia" w:ascii="黑体" w:hAnsi="黑体" w:eastAsia="黑体" w:cs="黑体"/>
          <w:bCs/>
          <w:kern w:val="44"/>
          <w:szCs w:val="21"/>
        </w:rPr>
        <w:t>A.4 功能需求</w:t>
      </w:r>
      <w:bookmarkEnd w:id="60"/>
      <w:bookmarkEnd w:id="61"/>
      <w:bookmarkEnd w:id="62"/>
      <w:bookmarkEnd w:id="63"/>
      <w:bookmarkEnd w:id="64"/>
      <w:bookmarkEnd w:id="65"/>
      <w:bookmarkEnd w:id="66"/>
      <w:bookmarkEnd w:id="67"/>
      <w:bookmarkEnd w:id="68"/>
    </w:p>
    <w:p w14:paraId="7A5FE12A">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bookmarkStart w:id="69" w:name="_Toc31207"/>
      <w:bookmarkStart w:id="70" w:name="_Toc196"/>
      <w:r>
        <w:rPr>
          <w:rFonts w:hint="eastAsia" w:ascii="黑体" w:hAnsi="黑体" w:eastAsia="黑体" w:cs="黑体"/>
          <w:bCs/>
          <w:kern w:val="44"/>
          <w:szCs w:val="21"/>
        </w:rPr>
        <w:t>A.4.1 功能需求1(请注明本需求是：新增、优化）</w:t>
      </w:r>
      <w:bookmarkEnd w:id="69"/>
      <w:bookmarkEnd w:id="70"/>
    </w:p>
    <w:p w14:paraId="6776ABFA">
      <w:pPr>
        <w:pStyle w:val="142"/>
        <w:spacing w:line="240" w:lineRule="auto"/>
        <w:ind w:firstLine="420"/>
        <w:rPr>
          <w:rFonts w:ascii="Times New Roman"/>
        </w:rPr>
      </w:pPr>
      <w:r>
        <w:rPr>
          <w:rFonts w:ascii="Times New Roman"/>
        </w:rPr>
        <w:t>请在此处描述功能需求的名称，并注明本需求是：新增、优化。</w:t>
      </w:r>
      <w:bookmarkStart w:id="71" w:name="_Toc14544"/>
      <w:bookmarkStart w:id="72" w:name="_Toc26337"/>
    </w:p>
    <w:p w14:paraId="746BF581">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A.4.2 关键时序图/业务逻辑图</w:t>
      </w:r>
      <w:bookmarkEnd w:id="71"/>
      <w:bookmarkEnd w:id="72"/>
      <w:r>
        <w:rPr>
          <w:rFonts w:hint="eastAsia" w:ascii="黑体" w:hAnsi="黑体" w:eastAsia="黑体" w:cs="黑体"/>
          <w:bCs/>
          <w:kern w:val="44"/>
          <w:szCs w:val="21"/>
        </w:rPr>
        <w:t>（可选）</w:t>
      </w:r>
    </w:p>
    <w:p w14:paraId="399A0374">
      <w:pPr>
        <w:pStyle w:val="142"/>
        <w:spacing w:line="240" w:lineRule="auto"/>
        <w:ind w:firstLine="420"/>
        <w:rPr>
          <w:rFonts w:ascii="Times New Roman"/>
        </w:rPr>
      </w:pPr>
      <w:r>
        <w:rPr>
          <w:rFonts w:ascii="Times New Roman"/>
        </w:rPr>
        <w:t>通过时序图或业务逻辑图的形式，对功能点的流程进行说明。</w:t>
      </w:r>
    </w:p>
    <w:p w14:paraId="494B3FC3">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bookmarkStart w:id="73" w:name="_Toc5454"/>
      <w:bookmarkStart w:id="74" w:name="_Toc25759"/>
      <w:r>
        <w:rPr>
          <w:rFonts w:hint="eastAsia" w:ascii="黑体" w:hAnsi="黑体" w:eastAsia="黑体" w:cs="黑体"/>
          <w:bCs/>
          <w:kern w:val="44"/>
          <w:szCs w:val="21"/>
        </w:rPr>
        <w:t>A.4.3 功能描述</w:t>
      </w:r>
      <w:bookmarkEnd w:id="73"/>
      <w:bookmarkEnd w:id="74"/>
    </w:p>
    <w:p w14:paraId="2D2E6D1D">
      <w:pPr>
        <w:pStyle w:val="142"/>
        <w:spacing w:line="240" w:lineRule="auto"/>
        <w:ind w:firstLine="420"/>
        <w:rPr>
          <w:rFonts w:ascii="Times New Roman"/>
        </w:rPr>
      </w:pPr>
      <w:r>
        <w:rPr>
          <w:rFonts w:ascii="Times New Roman"/>
        </w:rPr>
        <w:t>详细描述功能需求1的具体内容，包括功能用户、元素属性、输入输出、排序规则、状态转换等等。</w:t>
      </w:r>
    </w:p>
    <w:p w14:paraId="7C2FA124">
      <w:pPr>
        <w:keepNext w:val="0"/>
        <w:keepLines w:val="0"/>
        <w:pageBreakBefore w:val="0"/>
        <w:widowControl w:val="0"/>
        <w:kinsoku/>
        <w:wordWrap/>
        <w:overflowPunct/>
        <w:topLinePunct w:val="0"/>
        <w:autoSpaceDE w:val="0"/>
        <w:autoSpaceDN w:val="0"/>
        <w:bidi w:val="0"/>
        <w:adjustRightInd/>
        <w:snapToGrid/>
        <w:spacing w:before="313" w:beforeLines="100" w:after="313" w:afterLines="100" w:line="240" w:lineRule="auto"/>
        <w:textAlignment w:val="auto"/>
        <w:rPr>
          <w:rFonts w:hint="eastAsia" w:ascii="黑体" w:hAnsi="黑体" w:eastAsia="黑体" w:cs="黑体"/>
          <w:bCs/>
          <w:kern w:val="44"/>
          <w:szCs w:val="21"/>
        </w:rPr>
      </w:pPr>
      <w:bookmarkStart w:id="75" w:name="_Toc32496"/>
      <w:bookmarkStart w:id="76" w:name="_Toc5961"/>
      <w:bookmarkStart w:id="77" w:name="_Toc7578"/>
      <w:bookmarkStart w:id="78" w:name="_Toc11982"/>
      <w:r>
        <w:rPr>
          <w:rFonts w:hint="eastAsia" w:ascii="黑体" w:hAnsi="黑体" w:eastAsia="黑体" w:cs="黑体"/>
          <w:bCs/>
          <w:kern w:val="44"/>
          <w:szCs w:val="21"/>
        </w:rPr>
        <w:t>A.5 附加值调整因子说明</w:t>
      </w:r>
      <w:bookmarkEnd w:id="75"/>
      <w:bookmarkEnd w:id="76"/>
      <w:bookmarkEnd w:id="77"/>
      <w:bookmarkEnd w:id="78"/>
    </w:p>
    <w:p w14:paraId="11D4386B">
      <w:pPr>
        <w:pStyle w:val="142"/>
        <w:keepNext w:val="0"/>
        <w:keepLines w:val="0"/>
        <w:pageBreakBefore w:val="0"/>
        <w:widowControl/>
        <w:kinsoku/>
        <w:wordWrap/>
        <w:overflowPunct/>
        <w:topLinePunct w:val="0"/>
        <w:autoSpaceDE w:val="0"/>
        <w:autoSpaceDN w:val="0"/>
        <w:bidi w:val="0"/>
        <w:adjustRightInd/>
        <w:snapToGrid/>
        <w:spacing w:line="240" w:lineRule="auto"/>
        <w:ind w:firstLine="420"/>
        <w:textAlignment w:val="auto"/>
        <w:rPr>
          <w:rFonts w:ascii="Times New Roman"/>
        </w:rPr>
      </w:pPr>
      <w:r>
        <w:rPr>
          <w:rFonts w:ascii="Times New Roman"/>
        </w:rPr>
        <w:t>请在送审文档中明确以下关键点</w:t>
      </w:r>
      <w:bookmarkStart w:id="79" w:name="_Toc21415"/>
      <w:bookmarkStart w:id="80" w:name="_Toc9306"/>
      <w:bookmarkStart w:id="81" w:name="_Toc5879"/>
      <w:r>
        <w:rPr>
          <w:rFonts w:ascii="Times New Roman"/>
        </w:rPr>
        <w:t>。</w:t>
      </w:r>
    </w:p>
    <w:p w14:paraId="717F864A">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bookmarkStart w:id="82" w:name="_Toc15280"/>
      <w:bookmarkStart w:id="83" w:name="_Toc19622"/>
      <w:r>
        <w:rPr>
          <w:rFonts w:hint="eastAsia" w:ascii="黑体" w:hAnsi="黑体" w:eastAsia="黑体" w:cs="黑体"/>
          <w:bCs/>
          <w:kern w:val="44"/>
          <w:szCs w:val="21"/>
        </w:rPr>
        <w:t>A.5.1 需求变更规模因子</w:t>
      </w:r>
      <w:bookmarkEnd w:id="82"/>
      <w:bookmarkEnd w:id="83"/>
    </w:p>
    <w:p w14:paraId="43A67EE3">
      <w:pPr>
        <w:pStyle w:val="142"/>
        <w:keepNext w:val="0"/>
        <w:keepLines w:val="0"/>
        <w:pageBreakBefore w:val="0"/>
        <w:widowControl/>
        <w:kinsoku/>
        <w:wordWrap/>
        <w:overflowPunct/>
        <w:topLinePunct w:val="0"/>
        <w:autoSpaceDE w:val="0"/>
        <w:autoSpaceDN w:val="0"/>
        <w:bidi w:val="0"/>
        <w:adjustRightInd/>
        <w:snapToGrid/>
        <w:spacing w:line="240" w:lineRule="auto"/>
        <w:ind w:firstLine="420"/>
        <w:textAlignment w:val="auto"/>
        <w:rPr>
          <w:rFonts w:ascii="Times New Roman"/>
        </w:rPr>
      </w:pPr>
      <w:r>
        <w:rPr>
          <w:rFonts w:ascii="Times New Roman"/>
        </w:rPr>
        <w:t>请在Word文档中说明本项目的阶段类别</w:t>
      </w:r>
      <w:bookmarkEnd w:id="79"/>
      <w:bookmarkEnd w:id="80"/>
      <w:bookmarkEnd w:id="81"/>
      <w:r>
        <w:rPr>
          <w:rFonts w:ascii="Times New Roman"/>
        </w:rPr>
        <w:t>。建议进行规模估算时，默认参照国标规范中的结算场景实施，如确有特殊需求或存在发生较多需求变更可能时，可以考虑引入需求变更影响因素。</w:t>
      </w:r>
    </w:p>
    <w:p w14:paraId="6DEB5553">
      <w:pPr>
        <w:pStyle w:val="142"/>
        <w:keepNext w:val="0"/>
        <w:keepLines w:val="0"/>
        <w:pageBreakBefore w:val="0"/>
        <w:widowControl/>
        <w:kinsoku/>
        <w:wordWrap/>
        <w:overflowPunct/>
        <w:topLinePunct w:val="0"/>
        <w:autoSpaceDE w:val="0"/>
        <w:autoSpaceDN w:val="0"/>
        <w:bidi w:val="0"/>
        <w:adjustRightInd/>
        <w:snapToGrid/>
        <w:spacing w:before="156" w:beforeLines="50" w:after="156" w:afterLines="50"/>
        <w:ind w:firstLine="0" w:firstLineChars="0"/>
        <w:jc w:val="center"/>
        <w:textAlignment w:val="auto"/>
        <w:rPr>
          <w:rFonts w:ascii="黑体" w:hAnsi="黑体" w:eastAsia="黑体" w:cs="黑体"/>
        </w:rPr>
      </w:pPr>
      <w:r>
        <w:rPr>
          <w:rFonts w:hint="eastAsia" w:ascii="黑体" w:hAnsi="黑体" w:eastAsia="黑体" w:cs="黑体"/>
        </w:rPr>
        <w:t>表A.1  规模变更因子</w:t>
      </w:r>
    </w:p>
    <w:tbl>
      <w:tblPr>
        <w:tblStyle w:val="33"/>
        <w:tblW w:w="5000" w:type="pct"/>
        <w:jc w:val="center"/>
        <w:tblLayout w:type="autofit"/>
        <w:tblCellMar>
          <w:top w:w="0" w:type="dxa"/>
          <w:left w:w="108" w:type="dxa"/>
          <w:bottom w:w="0" w:type="dxa"/>
          <w:right w:w="108" w:type="dxa"/>
        </w:tblCellMar>
      </w:tblPr>
      <w:tblGrid>
        <w:gridCol w:w="884"/>
        <w:gridCol w:w="7528"/>
        <w:gridCol w:w="1158"/>
      </w:tblGrid>
      <w:tr w14:paraId="67F3D736">
        <w:tblPrEx>
          <w:tblCellMar>
            <w:top w:w="0" w:type="dxa"/>
            <w:left w:w="108" w:type="dxa"/>
            <w:bottom w:w="0" w:type="dxa"/>
            <w:right w:w="108" w:type="dxa"/>
          </w:tblCellMar>
        </w:tblPrEx>
        <w:trPr>
          <w:trHeight w:val="340" w:hRule="atLeast"/>
          <w:tblHeader/>
          <w:jc w:val="center"/>
        </w:trPr>
        <w:tc>
          <w:tcPr>
            <w:tcW w:w="5000" w:type="pct"/>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54F35A09">
            <w:pPr>
              <w:widowControl/>
              <w:jc w:val="center"/>
              <w:rPr>
                <w:rFonts w:ascii="宋体" w:hAnsi="宋体" w:cs="宋体"/>
                <w:b/>
                <w:bCs/>
                <w:kern w:val="0"/>
                <w:sz w:val="21"/>
                <w:szCs w:val="21"/>
              </w:rPr>
            </w:pPr>
            <w:r>
              <w:rPr>
                <w:rFonts w:hint="eastAsia" w:ascii="宋体" w:hAnsi="宋体" w:cs="宋体"/>
                <w:kern w:val="0"/>
                <w:sz w:val="21"/>
                <w:szCs w:val="21"/>
              </w:rPr>
              <w:t>规模变更因子(CF)</w:t>
            </w:r>
          </w:p>
        </w:tc>
      </w:tr>
      <w:tr w14:paraId="39A393B4">
        <w:tblPrEx>
          <w:tblCellMar>
            <w:top w:w="0" w:type="dxa"/>
            <w:left w:w="108" w:type="dxa"/>
            <w:bottom w:w="0" w:type="dxa"/>
            <w:right w:w="108" w:type="dxa"/>
          </w:tblCellMar>
        </w:tblPrEx>
        <w:trPr>
          <w:trHeight w:val="340" w:hRule="atLeast"/>
          <w:jc w:val="center"/>
        </w:trPr>
        <w:tc>
          <w:tcPr>
            <w:tcW w:w="462" w:type="pct"/>
            <w:tcBorders>
              <w:top w:val="nil"/>
              <w:left w:val="single" w:color="auto" w:sz="4" w:space="0"/>
              <w:bottom w:val="single" w:color="auto" w:sz="4" w:space="0"/>
              <w:right w:val="single" w:color="auto" w:sz="4" w:space="0"/>
            </w:tcBorders>
            <w:shd w:val="clear" w:color="auto" w:fill="auto"/>
            <w:vAlign w:val="center"/>
          </w:tcPr>
          <w:p w14:paraId="16DAA6AD">
            <w:pPr>
              <w:widowControl/>
              <w:jc w:val="center"/>
              <w:rPr>
                <w:rFonts w:ascii="宋体" w:hAnsi="宋体" w:cs="宋体"/>
                <w:kern w:val="0"/>
                <w:sz w:val="21"/>
                <w:szCs w:val="21"/>
              </w:rPr>
            </w:pPr>
            <w:r>
              <w:rPr>
                <w:rFonts w:hint="eastAsia" w:ascii="宋体" w:hAnsi="宋体" w:cs="宋体"/>
                <w:kern w:val="0"/>
                <w:sz w:val="21"/>
                <w:szCs w:val="21"/>
              </w:rPr>
              <w:t>匡算</w:t>
            </w:r>
          </w:p>
        </w:tc>
        <w:tc>
          <w:tcPr>
            <w:tcW w:w="3933" w:type="pct"/>
            <w:tcBorders>
              <w:top w:val="nil"/>
              <w:left w:val="nil"/>
              <w:bottom w:val="single" w:color="auto" w:sz="4" w:space="0"/>
              <w:right w:val="single" w:color="auto" w:sz="4" w:space="0"/>
            </w:tcBorders>
            <w:shd w:val="clear" w:color="auto" w:fill="auto"/>
            <w:vAlign w:val="center"/>
          </w:tcPr>
          <w:p w14:paraId="5AB9C11F">
            <w:pPr>
              <w:widowControl/>
              <w:jc w:val="left"/>
              <w:rPr>
                <w:rFonts w:ascii="宋体" w:hAnsi="宋体" w:cs="宋体"/>
                <w:kern w:val="0"/>
                <w:sz w:val="21"/>
                <w:szCs w:val="21"/>
              </w:rPr>
            </w:pPr>
            <w:r>
              <w:rPr>
                <w:rFonts w:hint="eastAsia" w:ascii="宋体" w:hAnsi="宋体" w:cs="宋体"/>
                <w:kern w:val="0"/>
                <w:sz w:val="21"/>
                <w:szCs w:val="21"/>
              </w:rPr>
              <w:t>项目投资阶段初步计算投资，是最粗略的投资测算。</w:t>
            </w:r>
          </w:p>
        </w:tc>
        <w:tc>
          <w:tcPr>
            <w:tcW w:w="603" w:type="pct"/>
            <w:tcBorders>
              <w:top w:val="nil"/>
              <w:left w:val="nil"/>
              <w:bottom w:val="single" w:color="auto" w:sz="4" w:space="0"/>
              <w:right w:val="single" w:color="auto" w:sz="4" w:space="0"/>
            </w:tcBorders>
            <w:shd w:val="clear" w:color="auto" w:fill="auto"/>
            <w:vAlign w:val="center"/>
          </w:tcPr>
          <w:p w14:paraId="111FFA56">
            <w:pPr>
              <w:widowControl/>
              <w:jc w:val="center"/>
              <w:rPr>
                <w:rFonts w:ascii="宋体" w:hAnsi="宋体" w:cs="宋体"/>
                <w:kern w:val="0"/>
                <w:sz w:val="21"/>
                <w:szCs w:val="21"/>
              </w:rPr>
            </w:pPr>
            <w:r>
              <w:rPr>
                <w:rFonts w:hint="eastAsia" w:ascii="宋体" w:hAnsi="宋体" w:cs="宋体"/>
                <w:kern w:val="0"/>
                <w:sz w:val="21"/>
                <w:szCs w:val="21"/>
              </w:rPr>
              <w:t xml:space="preserve">2.00 </w:t>
            </w:r>
          </w:p>
        </w:tc>
      </w:tr>
      <w:tr w14:paraId="13B4A3CD">
        <w:tblPrEx>
          <w:tblCellMar>
            <w:top w:w="0" w:type="dxa"/>
            <w:left w:w="108" w:type="dxa"/>
            <w:bottom w:w="0" w:type="dxa"/>
            <w:right w:w="108" w:type="dxa"/>
          </w:tblCellMar>
        </w:tblPrEx>
        <w:trPr>
          <w:trHeight w:val="340" w:hRule="atLeast"/>
          <w:jc w:val="center"/>
        </w:trPr>
        <w:tc>
          <w:tcPr>
            <w:tcW w:w="462" w:type="pct"/>
            <w:tcBorders>
              <w:top w:val="nil"/>
              <w:left w:val="single" w:color="auto" w:sz="4" w:space="0"/>
              <w:bottom w:val="single" w:color="auto" w:sz="4" w:space="0"/>
              <w:right w:val="single" w:color="auto" w:sz="4" w:space="0"/>
            </w:tcBorders>
            <w:shd w:val="clear" w:color="auto" w:fill="auto"/>
            <w:vAlign w:val="center"/>
          </w:tcPr>
          <w:p w14:paraId="4DAD0E62">
            <w:pPr>
              <w:widowControl/>
              <w:jc w:val="center"/>
              <w:rPr>
                <w:rFonts w:ascii="宋体" w:hAnsi="宋体" w:cs="宋体"/>
                <w:kern w:val="0"/>
                <w:sz w:val="21"/>
                <w:szCs w:val="21"/>
              </w:rPr>
            </w:pPr>
            <w:r>
              <w:rPr>
                <w:rFonts w:hint="eastAsia" w:ascii="宋体" w:hAnsi="宋体" w:cs="宋体"/>
                <w:kern w:val="0"/>
                <w:sz w:val="21"/>
                <w:szCs w:val="21"/>
              </w:rPr>
              <w:t>概算</w:t>
            </w:r>
          </w:p>
        </w:tc>
        <w:tc>
          <w:tcPr>
            <w:tcW w:w="3933" w:type="pct"/>
            <w:tcBorders>
              <w:top w:val="nil"/>
              <w:left w:val="nil"/>
              <w:bottom w:val="single" w:color="auto" w:sz="4" w:space="0"/>
              <w:right w:val="single" w:color="auto" w:sz="4" w:space="0"/>
            </w:tcBorders>
            <w:shd w:val="clear" w:color="auto" w:fill="auto"/>
            <w:vAlign w:val="center"/>
          </w:tcPr>
          <w:p w14:paraId="17584EE6">
            <w:pPr>
              <w:widowControl/>
              <w:jc w:val="left"/>
              <w:rPr>
                <w:rFonts w:ascii="宋体" w:hAnsi="宋体" w:cs="宋体"/>
                <w:kern w:val="0"/>
                <w:sz w:val="21"/>
                <w:szCs w:val="21"/>
              </w:rPr>
            </w:pPr>
            <w:r>
              <w:rPr>
                <w:rFonts w:hint="eastAsia" w:ascii="宋体" w:hAnsi="宋体" w:cs="宋体"/>
                <w:kern w:val="0"/>
                <w:sz w:val="21"/>
                <w:szCs w:val="21"/>
              </w:rPr>
              <w:t>项目可研阶段，根据有代表性的资料，经过适当综合以及扩大合并而成。</w:t>
            </w:r>
          </w:p>
        </w:tc>
        <w:tc>
          <w:tcPr>
            <w:tcW w:w="603" w:type="pct"/>
            <w:tcBorders>
              <w:top w:val="nil"/>
              <w:left w:val="nil"/>
              <w:bottom w:val="single" w:color="auto" w:sz="4" w:space="0"/>
              <w:right w:val="single" w:color="auto" w:sz="4" w:space="0"/>
            </w:tcBorders>
            <w:shd w:val="clear" w:color="auto" w:fill="auto"/>
            <w:vAlign w:val="center"/>
          </w:tcPr>
          <w:p w14:paraId="0364D5C1">
            <w:pPr>
              <w:widowControl/>
              <w:jc w:val="center"/>
              <w:rPr>
                <w:rFonts w:ascii="宋体" w:hAnsi="宋体" w:cs="宋体"/>
                <w:kern w:val="0"/>
                <w:sz w:val="21"/>
                <w:szCs w:val="21"/>
              </w:rPr>
            </w:pPr>
            <w:r>
              <w:rPr>
                <w:rFonts w:hint="eastAsia" w:ascii="宋体" w:hAnsi="宋体" w:cs="宋体"/>
                <w:kern w:val="0"/>
                <w:sz w:val="21"/>
                <w:szCs w:val="21"/>
              </w:rPr>
              <w:t xml:space="preserve">1.50 </w:t>
            </w:r>
          </w:p>
        </w:tc>
      </w:tr>
      <w:tr w14:paraId="769877E2">
        <w:tblPrEx>
          <w:tblCellMar>
            <w:top w:w="0" w:type="dxa"/>
            <w:left w:w="108" w:type="dxa"/>
            <w:bottom w:w="0" w:type="dxa"/>
            <w:right w:w="108" w:type="dxa"/>
          </w:tblCellMar>
        </w:tblPrEx>
        <w:trPr>
          <w:trHeight w:val="340" w:hRule="atLeast"/>
          <w:jc w:val="center"/>
        </w:trPr>
        <w:tc>
          <w:tcPr>
            <w:tcW w:w="462" w:type="pct"/>
            <w:tcBorders>
              <w:top w:val="nil"/>
              <w:left w:val="single" w:color="auto" w:sz="4" w:space="0"/>
              <w:bottom w:val="single" w:color="auto" w:sz="4" w:space="0"/>
              <w:right w:val="single" w:color="auto" w:sz="4" w:space="0"/>
            </w:tcBorders>
            <w:shd w:val="clear" w:color="auto" w:fill="auto"/>
            <w:vAlign w:val="center"/>
          </w:tcPr>
          <w:p w14:paraId="684ACFF2">
            <w:pPr>
              <w:widowControl/>
              <w:jc w:val="center"/>
              <w:rPr>
                <w:rFonts w:ascii="宋体" w:hAnsi="宋体" w:cs="宋体"/>
                <w:kern w:val="0"/>
                <w:sz w:val="21"/>
                <w:szCs w:val="21"/>
              </w:rPr>
            </w:pPr>
            <w:r>
              <w:rPr>
                <w:rFonts w:hint="eastAsia" w:ascii="宋体" w:hAnsi="宋体" w:cs="宋体"/>
                <w:kern w:val="0"/>
                <w:sz w:val="21"/>
                <w:szCs w:val="21"/>
              </w:rPr>
              <w:t>预算</w:t>
            </w:r>
          </w:p>
        </w:tc>
        <w:tc>
          <w:tcPr>
            <w:tcW w:w="3933" w:type="pct"/>
            <w:tcBorders>
              <w:top w:val="nil"/>
              <w:left w:val="nil"/>
              <w:bottom w:val="single" w:color="auto" w:sz="4" w:space="0"/>
              <w:right w:val="single" w:color="auto" w:sz="4" w:space="0"/>
            </w:tcBorders>
            <w:shd w:val="clear" w:color="auto" w:fill="auto"/>
            <w:vAlign w:val="center"/>
          </w:tcPr>
          <w:p w14:paraId="3BD08CE0">
            <w:pPr>
              <w:widowControl/>
              <w:jc w:val="left"/>
              <w:rPr>
                <w:rFonts w:ascii="宋体" w:hAnsi="宋体" w:cs="宋体"/>
                <w:kern w:val="0"/>
                <w:sz w:val="21"/>
                <w:szCs w:val="21"/>
              </w:rPr>
            </w:pPr>
            <w:r>
              <w:rPr>
                <w:rFonts w:hint="eastAsia" w:ascii="宋体" w:hAnsi="宋体" w:cs="宋体"/>
                <w:kern w:val="0"/>
                <w:sz w:val="21"/>
                <w:szCs w:val="21"/>
              </w:rPr>
              <w:t>工程未施工前，根据方案进行投资费用预估</w:t>
            </w:r>
          </w:p>
        </w:tc>
        <w:tc>
          <w:tcPr>
            <w:tcW w:w="603" w:type="pct"/>
            <w:tcBorders>
              <w:top w:val="nil"/>
              <w:left w:val="nil"/>
              <w:bottom w:val="single" w:color="auto" w:sz="4" w:space="0"/>
              <w:right w:val="single" w:color="auto" w:sz="4" w:space="0"/>
            </w:tcBorders>
            <w:shd w:val="clear" w:color="auto" w:fill="auto"/>
            <w:vAlign w:val="center"/>
          </w:tcPr>
          <w:p w14:paraId="36E4EABC">
            <w:pPr>
              <w:widowControl/>
              <w:jc w:val="center"/>
              <w:rPr>
                <w:rFonts w:ascii="宋体" w:hAnsi="宋体" w:cs="宋体"/>
                <w:kern w:val="0"/>
                <w:sz w:val="21"/>
                <w:szCs w:val="21"/>
              </w:rPr>
            </w:pPr>
            <w:r>
              <w:rPr>
                <w:rFonts w:hint="eastAsia" w:ascii="宋体" w:hAnsi="宋体" w:cs="宋体"/>
                <w:kern w:val="0"/>
                <w:sz w:val="21"/>
                <w:szCs w:val="21"/>
              </w:rPr>
              <w:t xml:space="preserve">1.26 </w:t>
            </w:r>
          </w:p>
        </w:tc>
      </w:tr>
      <w:tr w14:paraId="5886D16C">
        <w:tblPrEx>
          <w:tblCellMar>
            <w:top w:w="0" w:type="dxa"/>
            <w:left w:w="108" w:type="dxa"/>
            <w:bottom w:w="0" w:type="dxa"/>
            <w:right w:w="108" w:type="dxa"/>
          </w:tblCellMar>
        </w:tblPrEx>
        <w:trPr>
          <w:trHeight w:val="340" w:hRule="atLeast"/>
          <w:jc w:val="center"/>
        </w:trPr>
        <w:tc>
          <w:tcPr>
            <w:tcW w:w="462" w:type="pct"/>
            <w:tcBorders>
              <w:top w:val="nil"/>
              <w:left w:val="single" w:color="auto" w:sz="4" w:space="0"/>
              <w:bottom w:val="single" w:color="auto" w:sz="4" w:space="0"/>
              <w:right w:val="single" w:color="auto" w:sz="4" w:space="0"/>
            </w:tcBorders>
            <w:shd w:val="clear" w:color="auto" w:fill="auto"/>
            <w:vAlign w:val="center"/>
          </w:tcPr>
          <w:p w14:paraId="21AE65EB">
            <w:pPr>
              <w:widowControl/>
              <w:jc w:val="center"/>
              <w:rPr>
                <w:rFonts w:ascii="宋体" w:hAnsi="宋体" w:cs="宋体"/>
                <w:kern w:val="0"/>
                <w:sz w:val="21"/>
                <w:szCs w:val="21"/>
              </w:rPr>
            </w:pPr>
            <w:r>
              <w:rPr>
                <w:rFonts w:hint="eastAsia" w:ascii="宋体" w:hAnsi="宋体" w:cs="宋体"/>
                <w:kern w:val="0"/>
                <w:sz w:val="21"/>
                <w:szCs w:val="21"/>
              </w:rPr>
              <w:t>结算</w:t>
            </w:r>
          </w:p>
        </w:tc>
        <w:tc>
          <w:tcPr>
            <w:tcW w:w="3933" w:type="pct"/>
            <w:tcBorders>
              <w:top w:val="nil"/>
              <w:left w:val="nil"/>
              <w:bottom w:val="single" w:color="auto" w:sz="4" w:space="0"/>
              <w:right w:val="single" w:color="auto" w:sz="4" w:space="0"/>
            </w:tcBorders>
            <w:shd w:val="clear" w:color="auto" w:fill="auto"/>
            <w:vAlign w:val="center"/>
          </w:tcPr>
          <w:p w14:paraId="017696A4">
            <w:pPr>
              <w:widowControl/>
              <w:jc w:val="left"/>
              <w:rPr>
                <w:rFonts w:ascii="宋体" w:hAnsi="宋体" w:cs="宋体"/>
                <w:kern w:val="0"/>
                <w:sz w:val="21"/>
                <w:szCs w:val="21"/>
              </w:rPr>
            </w:pPr>
            <w:r>
              <w:rPr>
                <w:rFonts w:hint="eastAsia" w:ascii="宋体" w:hAnsi="宋体" w:cs="宋体"/>
                <w:kern w:val="0"/>
                <w:sz w:val="21"/>
                <w:szCs w:val="21"/>
              </w:rPr>
              <w:t>工程结束后，竣工结算</w:t>
            </w:r>
          </w:p>
        </w:tc>
        <w:tc>
          <w:tcPr>
            <w:tcW w:w="603" w:type="pct"/>
            <w:tcBorders>
              <w:top w:val="nil"/>
              <w:left w:val="nil"/>
              <w:bottom w:val="single" w:color="auto" w:sz="4" w:space="0"/>
              <w:right w:val="single" w:color="auto" w:sz="4" w:space="0"/>
            </w:tcBorders>
            <w:shd w:val="clear" w:color="auto" w:fill="auto"/>
            <w:vAlign w:val="center"/>
          </w:tcPr>
          <w:p w14:paraId="483AB842">
            <w:pPr>
              <w:widowControl/>
              <w:jc w:val="center"/>
              <w:rPr>
                <w:rFonts w:ascii="宋体" w:hAnsi="宋体" w:cs="宋体"/>
                <w:kern w:val="0"/>
                <w:sz w:val="21"/>
                <w:szCs w:val="21"/>
              </w:rPr>
            </w:pPr>
            <w:r>
              <w:rPr>
                <w:rFonts w:hint="eastAsia" w:ascii="宋体" w:hAnsi="宋体" w:cs="宋体"/>
                <w:kern w:val="0"/>
                <w:sz w:val="21"/>
                <w:szCs w:val="21"/>
              </w:rPr>
              <w:t xml:space="preserve">1.00 </w:t>
            </w:r>
          </w:p>
        </w:tc>
      </w:tr>
    </w:tbl>
    <w:p w14:paraId="77EC14D3">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A.5.2 应用类型</w:t>
      </w:r>
    </w:p>
    <w:p w14:paraId="15665ED5">
      <w:pPr>
        <w:pStyle w:val="142"/>
        <w:keepNext w:val="0"/>
        <w:keepLines w:val="0"/>
        <w:pageBreakBefore w:val="0"/>
        <w:widowControl/>
        <w:kinsoku/>
        <w:wordWrap/>
        <w:overflowPunct/>
        <w:topLinePunct w:val="0"/>
        <w:autoSpaceDE w:val="0"/>
        <w:autoSpaceDN w:val="0"/>
        <w:bidi w:val="0"/>
        <w:adjustRightInd/>
        <w:snapToGrid/>
        <w:spacing w:line="240" w:lineRule="auto"/>
        <w:ind w:firstLine="420"/>
        <w:textAlignment w:val="auto"/>
        <w:rPr>
          <w:rFonts w:ascii="Times New Roman"/>
        </w:rPr>
      </w:pPr>
      <w:r>
        <w:rPr>
          <w:rFonts w:ascii="Times New Roman"/>
        </w:rPr>
        <w:t>请在Word文档中说明本项目涉及到的应用类型领域。</w:t>
      </w:r>
    </w:p>
    <w:p w14:paraId="55977779">
      <w:pPr>
        <w:pStyle w:val="142"/>
        <w:keepNext w:val="0"/>
        <w:keepLines w:val="0"/>
        <w:pageBreakBefore w:val="0"/>
        <w:widowControl/>
        <w:kinsoku/>
        <w:wordWrap/>
        <w:overflowPunct/>
        <w:topLinePunct w:val="0"/>
        <w:autoSpaceDE w:val="0"/>
        <w:autoSpaceDN w:val="0"/>
        <w:bidi w:val="0"/>
        <w:adjustRightInd/>
        <w:snapToGrid/>
        <w:spacing w:before="156" w:beforeLines="50" w:after="156" w:afterLines="50" w:line="240" w:lineRule="auto"/>
        <w:ind w:firstLine="0" w:firstLineChars="0"/>
        <w:jc w:val="center"/>
        <w:textAlignment w:val="auto"/>
        <w:rPr>
          <w:rFonts w:ascii="黑体" w:hAnsi="黑体" w:eastAsia="黑体" w:cs="黑体"/>
        </w:rPr>
      </w:pPr>
      <w:r>
        <w:rPr>
          <w:rFonts w:hint="eastAsia" w:ascii="黑体" w:hAnsi="黑体" w:eastAsia="黑体" w:cs="黑体"/>
        </w:rPr>
        <w:t>表A.2  应用类型</w:t>
      </w:r>
    </w:p>
    <w:tbl>
      <w:tblPr>
        <w:tblStyle w:val="33"/>
        <w:tblpPr w:leftFromText="180" w:rightFromText="180" w:vertAnchor="text" w:horzAnchor="page" w:tblpXSpec="center" w:tblpY="92"/>
        <w:tblOverlap w:val="never"/>
        <w:tblW w:w="4991" w:type="pct"/>
        <w:jc w:val="center"/>
        <w:tblLayout w:type="autofit"/>
        <w:tblCellMar>
          <w:top w:w="0" w:type="dxa"/>
          <w:left w:w="108" w:type="dxa"/>
          <w:bottom w:w="0" w:type="dxa"/>
          <w:right w:w="108" w:type="dxa"/>
        </w:tblCellMar>
      </w:tblPr>
      <w:tblGrid>
        <w:gridCol w:w="1630"/>
        <w:gridCol w:w="6772"/>
        <w:gridCol w:w="1151"/>
      </w:tblGrid>
      <w:tr w14:paraId="667C5788">
        <w:tblPrEx>
          <w:tblCellMar>
            <w:top w:w="0" w:type="dxa"/>
            <w:left w:w="108" w:type="dxa"/>
            <w:bottom w:w="0" w:type="dxa"/>
            <w:right w:w="108" w:type="dxa"/>
          </w:tblCellMar>
        </w:tblPrEx>
        <w:trPr>
          <w:trHeight w:val="340" w:hRule="atLeast"/>
          <w:jc w:val="center"/>
        </w:trPr>
        <w:tc>
          <w:tcPr>
            <w:tcW w:w="853" w:type="pct"/>
            <w:tcBorders>
              <w:top w:val="single" w:color="auto" w:sz="4" w:space="0"/>
              <w:left w:val="single" w:color="auto" w:sz="4" w:space="0"/>
              <w:bottom w:val="single" w:color="auto" w:sz="4" w:space="0"/>
              <w:right w:val="single" w:color="auto" w:sz="4" w:space="0"/>
            </w:tcBorders>
            <w:shd w:val="clear" w:color="auto" w:fill="auto"/>
            <w:vAlign w:val="center"/>
          </w:tcPr>
          <w:p w14:paraId="0B274E68">
            <w:pPr>
              <w:widowControl/>
              <w:spacing w:line="240" w:lineRule="auto"/>
              <w:jc w:val="center"/>
              <w:rPr>
                <w:rFonts w:ascii="宋体" w:hAnsi="宋体" w:cs="宋体"/>
                <w:kern w:val="0"/>
                <w:sz w:val="21"/>
                <w:szCs w:val="21"/>
              </w:rPr>
            </w:pPr>
            <w:r>
              <w:rPr>
                <w:rFonts w:hint="eastAsia" w:ascii="宋体" w:hAnsi="宋体" w:cs="宋体"/>
                <w:kern w:val="0"/>
                <w:sz w:val="21"/>
                <w:szCs w:val="21"/>
              </w:rPr>
              <w:t>应用类型</w:t>
            </w:r>
          </w:p>
        </w:tc>
        <w:tc>
          <w:tcPr>
            <w:tcW w:w="3543" w:type="pct"/>
            <w:tcBorders>
              <w:top w:val="single" w:color="auto" w:sz="4" w:space="0"/>
              <w:left w:val="nil"/>
              <w:bottom w:val="single" w:color="auto" w:sz="4" w:space="0"/>
              <w:right w:val="single" w:color="auto" w:sz="4" w:space="0"/>
            </w:tcBorders>
            <w:shd w:val="clear" w:color="auto" w:fill="auto"/>
            <w:vAlign w:val="center"/>
          </w:tcPr>
          <w:p w14:paraId="7DE36652">
            <w:pPr>
              <w:widowControl/>
              <w:spacing w:line="240" w:lineRule="auto"/>
              <w:jc w:val="center"/>
              <w:rPr>
                <w:rFonts w:ascii="宋体" w:hAnsi="宋体" w:cs="宋体"/>
                <w:kern w:val="0"/>
                <w:sz w:val="21"/>
                <w:szCs w:val="21"/>
              </w:rPr>
            </w:pPr>
            <w:r>
              <w:rPr>
                <w:rFonts w:hint="eastAsia" w:ascii="宋体" w:hAnsi="宋体" w:cs="宋体"/>
                <w:kern w:val="0"/>
                <w:sz w:val="21"/>
                <w:szCs w:val="21"/>
              </w:rPr>
              <w:t>描述</w:t>
            </w:r>
          </w:p>
        </w:tc>
        <w:tc>
          <w:tcPr>
            <w:tcW w:w="602" w:type="pct"/>
            <w:tcBorders>
              <w:top w:val="single" w:color="auto" w:sz="4" w:space="0"/>
              <w:left w:val="nil"/>
              <w:bottom w:val="single" w:color="auto" w:sz="4" w:space="0"/>
              <w:right w:val="single" w:color="auto" w:sz="4" w:space="0"/>
            </w:tcBorders>
            <w:shd w:val="clear" w:color="auto" w:fill="auto"/>
            <w:vAlign w:val="center"/>
          </w:tcPr>
          <w:p w14:paraId="3B8E7FC5">
            <w:pPr>
              <w:widowControl/>
              <w:spacing w:line="240" w:lineRule="auto"/>
              <w:jc w:val="center"/>
              <w:rPr>
                <w:rFonts w:ascii="宋体" w:hAnsi="宋体" w:cs="宋体"/>
                <w:kern w:val="0"/>
                <w:sz w:val="21"/>
                <w:szCs w:val="21"/>
              </w:rPr>
            </w:pPr>
            <w:r>
              <w:rPr>
                <w:rFonts w:hint="eastAsia" w:ascii="宋体" w:hAnsi="宋体" w:cs="宋体"/>
                <w:kern w:val="0"/>
                <w:sz w:val="21"/>
                <w:szCs w:val="21"/>
              </w:rPr>
              <w:t>调整因子</w:t>
            </w:r>
          </w:p>
        </w:tc>
      </w:tr>
      <w:tr w14:paraId="1F1A3229">
        <w:tblPrEx>
          <w:tblCellMar>
            <w:top w:w="0" w:type="dxa"/>
            <w:left w:w="108" w:type="dxa"/>
            <w:bottom w:w="0" w:type="dxa"/>
            <w:right w:w="108" w:type="dxa"/>
          </w:tblCellMar>
        </w:tblPrEx>
        <w:trPr>
          <w:trHeight w:val="340" w:hRule="atLeast"/>
          <w:jc w:val="center"/>
        </w:trPr>
        <w:tc>
          <w:tcPr>
            <w:tcW w:w="853" w:type="pct"/>
            <w:tcBorders>
              <w:top w:val="nil"/>
              <w:left w:val="single" w:color="auto" w:sz="4" w:space="0"/>
              <w:bottom w:val="single" w:color="auto" w:sz="4" w:space="0"/>
              <w:right w:val="single" w:color="auto" w:sz="4" w:space="0"/>
            </w:tcBorders>
            <w:shd w:val="clear" w:color="auto" w:fill="auto"/>
            <w:vAlign w:val="center"/>
          </w:tcPr>
          <w:p w14:paraId="568A8368">
            <w:pPr>
              <w:widowControl/>
              <w:spacing w:line="240" w:lineRule="auto"/>
              <w:jc w:val="center"/>
              <w:rPr>
                <w:rFonts w:ascii="宋体" w:hAnsi="宋体" w:cs="宋体"/>
                <w:kern w:val="0"/>
                <w:sz w:val="21"/>
                <w:szCs w:val="21"/>
              </w:rPr>
            </w:pPr>
            <w:r>
              <w:rPr>
                <w:rFonts w:hint="eastAsia" w:ascii="宋体" w:hAnsi="宋体" w:cs="宋体"/>
                <w:kern w:val="0"/>
                <w:sz w:val="21"/>
                <w:szCs w:val="21"/>
              </w:rPr>
              <w:t>业务处理</w:t>
            </w:r>
          </w:p>
        </w:tc>
        <w:tc>
          <w:tcPr>
            <w:tcW w:w="3543" w:type="pct"/>
            <w:tcBorders>
              <w:top w:val="nil"/>
              <w:left w:val="nil"/>
              <w:bottom w:val="single" w:color="auto" w:sz="4" w:space="0"/>
              <w:right w:val="single" w:color="auto" w:sz="4" w:space="0"/>
            </w:tcBorders>
            <w:shd w:val="clear" w:color="auto" w:fill="auto"/>
            <w:vAlign w:val="center"/>
          </w:tcPr>
          <w:p w14:paraId="5FD83990">
            <w:pPr>
              <w:widowControl/>
              <w:spacing w:line="240" w:lineRule="auto"/>
              <w:rPr>
                <w:rFonts w:ascii="宋体" w:hAnsi="宋体" w:cs="宋体"/>
                <w:kern w:val="0"/>
                <w:sz w:val="21"/>
                <w:szCs w:val="21"/>
              </w:rPr>
            </w:pPr>
            <w:r>
              <w:rPr>
                <w:rFonts w:hint="eastAsia" w:ascii="宋体" w:hAnsi="宋体" w:cs="宋体"/>
                <w:kern w:val="0"/>
                <w:sz w:val="21"/>
                <w:szCs w:val="21"/>
              </w:rPr>
              <w:t>办公自动化系统、日常管理及业务处理应用软件等</w:t>
            </w:r>
          </w:p>
        </w:tc>
        <w:tc>
          <w:tcPr>
            <w:tcW w:w="602" w:type="pct"/>
            <w:tcBorders>
              <w:top w:val="nil"/>
              <w:left w:val="nil"/>
              <w:bottom w:val="single" w:color="auto" w:sz="4" w:space="0"/>
              <w:right w:val="single" w:color="auto" w:sz="4" w:space="0"/>
            </w:tcBorders>
            <w:shd w:val="clear" w:color="auto" w:fill="auto"/>
            <w:vAlign w:val="center"/>
          </w:tcPr>
          <w:p w14:paraId="3EF4AEA6">
            <w:pPr>
              <w:widowControl/>
              <w:spacing w:line="240" w:lineRule="auto"/>
              <w:jc w:val="center"/>
              <w:rPr>
                <w:rFonts w:ascii="宋体" w:hAnsi="宋体" w:cs="宋体"/>
                <w:kern w:val="0"/>
                <w:sz w:val="21"/>
                <w:szCs w:val="21"/>
              </w:rPr>
            </w:pPr>
            <w:r>
              <w:rPr>
                <w:rFonts w:hint="eastAsia" w:ascii="宋体" w:hAnsi="宋体" w:cs="宋体"/>
                <w:kern w:val="0"/>
                <w:sz w:val="21"/>
                <w:szCs w:val="21"/>
              </w:rPr>
              <w:t xml:space="preserve">1.0 </w:t>
            </w:r>
          </w:p>
        </w:tc>
      </w:tr>
      <w:tr w14:paraId="6715D45B">
        <w:tblPrEx>
          <w:tblCellMar>
            <w:top w:w="0" w:type="dxa"/>
            <w:left w:w="108" w:type="dxa"/>
            <w:bottom w:w="0" w:type="dxa"/>
            <w:right w:w="108" w:type="dxa"/>
          </w:tblCellMar>
        </w:tblPrEx>
        <w:trPr>
          <w:trHeight w:val="340" w:hRule="atLeast"/>
          <w:jc w:val="center"/>
        </w:trPr>
        <w:tc>
          <w:tcPr>
            <w:tcW w:w="853" w:type="pct"/>
            <w:tcBorders>
              <w:top w:val="nil"/>
              <w:left w:val="single" w:color="auto" w:sz="4" w:space="0"/>
              <w:bottom w:val="single" w:color="auto" w:sz="4" w:space="0"/>
              <w:right w:val="single" w:color="auto" w:sz="4" w:space="0"/>
            </w:tcBorders>
            <w:shd w:val="clear" w:color="auto" w:fill="auto"/>
            <w:vAlign w:val="center"/>
          </w:tcPr>
          <w:p w14:paraId="2F635C55">
            <w:pPr>
              <w:widowControl/>
              <w:spacing w:line="240" w:lineRule="auto"/>
              <w:jc w:val="center"/>
              <w:rPr>
                <w:rFonts w:ascii="宋体" w:hAnsi="宋体" w:cs="宋体"/>
                <w:kern w:val="0"/>
                <w:sz w:val="21"/>
                <w:szCs w:val="21"/>
              </w:rPr>
            </w:pPr>
            <w:r>
              <w:rPr>
                <w:rFonts w:hint="eastAsia" w:ascii="宋体" w:hAnsi="宋体" w:cs="宋体"/>
                <w:kern w:val="0"/>
                <w:sz w:val="21"/>
                <w:szCs w:val="21"/>
              </w:rPr>
              <w:t>应用集成</w:t>
            </w:r>
          </w:p>
        </w:tc>
        <w:tc>
          <w:tcPr>
            <w:tcW w:w="3543" w:type="pct"/>
            <w:tcBorders>
              <w:top w:val="nil"/>
              <w:left w:val="nil"/>
              <w:bottom w:val="single" w:color="auto" w:sz="4" w:space="0"/>
              <w:right w:val="single" w:color="auto" w:sz="4" w:space="0"/>
            </w:tcBorders>
            <w:shd w:val="clear" w:color="auto" w:fill="auto"/>
            <w:vAlign w:val="center"/>
          </w:tcPr>
          <w:p w14:paraId="04EFC595">
            <w:pPr>
              <w:widowControl/>
              <w:spacing w:line="240" w:lineRule="auto"/>
              <w:rPr>
                <w:rFonts w:ascii="宋体" w:hAnsi="宋体" w:cs="宋体"/>
                <w:kern w:val="0"/>
                <w:sz w:val="21"/>
                <w:szCs w:val="21"/>
              </w:rPr>
            </w:pPr>
            <w:r>
              <w:rPr>
                <w:rFonts w:hint="eastAsia" w:ascii="宋体" w:hAnsi="宋体" w:cs="宋体"/>
                <w:kern w:val="0"/>
                <w:sz w:val="21"/>
                <w:szCs w:val="21"/>
              </w:rPr>
              <w:t>企业服务总线、应用集成等</w:t>
            </w:r>
          </w:p>
        </w:tc>
        <w:tc>
          <w:tcPr>
            <w:tcW w:w="602" w:type="pct"/>
            <w:tcBorders>
              <w:top w:val="nil"/>
              <w:left w:val="nil"/>
              <w:bottom w:val="single" w:color="auto" w:sz="4" w:space="0"/>
              <w:right w:val="single" w:color="auto" w:sz="4" w:space="0"/>
            </w:tcBorders>
            <w:shd w:val="clear" w:color="auto" w:fill="auto"/>
            <w:vAlign w:val="center"/>
          </w:tcPr>
          <w:p w14:paraId="1DD35EB3">
            <w:pPr>
              <w:widowControl/>
              <w:spacing w:line="240" w:lineRule="auto"/>
              <w:jc w:val="center"/>
              <w:rPr>
                <w:rFonts w:ascii="宋体" w:hAnsi="宋体" w:cs="宋体"/>
                <w:kern w:val="0"/>
                <w:sz w:val="21"/>
                <w:szCs w:val="21"/>
              </w:rPr>
            </w:pPr>
            <w:r>
              <w:rPr>
                <w:rFonts w:hint="eastAsia" w:ascii="宋体" w:hAnsi="宋体" w:cs="宋体"/>
                <w:kern w:val="0"/>
                <w:sz w:val="21"/>
                <w:szCs w:val="21"/>
              </w:rPr>
              <w:t xml:space="preserve">1.2 </w:t>
            </w:r>
          </w:p>
        </w:tc>
      </w:tr>
      <w:tr w14:paraId="30D526A9">
        <w:tblPrEx>
          <w:tblCellMar>
            <w:top w:w="0" w:type="dxa"/>
            <w:left w:w="108" w:type="dxa"/>
            <w:bottom w:w="0" w:type="dxa"/>
            <w:right w:w="108" w:type="dxa"/>
          </w:tblCellMar>
        </w:tblPrEx>
        <w:trPr>
          <w:trHeight w:val="340" w:hRule="atLeast"/>
          <w:jc w:val="center"/>
        </w:trPr>
        <w:tc>
          <w:tcPr>
            <w:tcW w:w="853" w:type="pct"/>
            <w:tcBorders>
              <w:top w:val="nil"/>
              <w:left w:val="single" w:color="auto" w:sz="4" w:space="0"/>
              <w:bottom w:val="single" w:color="auto" w:sz="4" w:space="0"/>
              <w:right w:val="single" w:color="auto" w:sz="4" w:space="0"/>
            </w:tcBorders>
            <w:shd w:val="clear" w:color="auto" w:fill="auto"/>
            <w:vAlign w:val="center"/>
          </w:tcPr>
          <w:p w14:paraId="374D675F">
            <w:pPr>
              <w:widowControl/>
              <w:spacing w:line="240" w:lineRule="auto"/>
              <w:jc w:val="center"/>
              <w:rPr>
                <w:rFonts w:ascii="宋体" w:hAnsi="宋体" w:cs="宋体"/>
                <w:kern w:val="0"/>
                <w:sz w:val="21"/>
                <w:szCs w:val="21"/>
              </w:rPr>
            </w:pPr>
            <w:r>
              <w:rPr>
                <w:rFonts w:hint="eastAsia" w:ascii="宋体" w:hAnsi="宋体" w:cs="宋体"/>
                <w:kern w:val="0"/>
                <w:sz w:val="21"/>
                <w:szCs w:val="21"/>
              </w:rPr>
              <w:t>科技</w:t>
            </w:r>
          </w:p>
        </w:tc>
        <w:tc>
          <w:tcPr>
            <w:tcW w:w="3543" w:type="pct"/>
            <w:tcBorders>
              <w:top w:val="nil"/>
              <w:left w:val="nil"/>
              <w:bottom w:val="single" w:color="auto" w:sz="4" w:space="0"/>
              <w:right w:val="single" w:color="auto" w:sz="4" w:space="0"/>
            </w:tcBorders>
            <w:shd w:val="clear" w:color="auto" w:fill="auto"/>
            <w:vAlign w:val="center"/>
          </w:tcPr>
          <w:p w14:paraId="72FEB93C">
            <w:pPr>
              <w:widowControl/>
              <w:spacing w:line="240" w:lineRule="auto"/>
              <w:rPr>
                <w:rFonts w:ascii="宋体" w:hAnsi="宋体" w:cs="宋体"/>
                <w:kern w:val="0"/>
                <w:sz w:val="21"/>
                <w:szCs w:val="21"/>
              </w:rPr>
            </w:pPr>
            <w:r>
              <w:rPr>
                <w:rFonts w:hint="eastAsia" w:ascii="宋体" w:hAnsi="宋体" w:cs="宋体"/>
                <w:kern w:val="0"/>
                <w:sz w:val="21"/>
                <w:szCs w:val="21"/>
              </w:rPr>
              <w:t>科学计算、仿真、基于复杂算法的统计分析等</w:t>
            </w:r>
          </w:p>
        </w:tc>
        <w:tc>
          <w:tcPr>
            <w:tcW w:w="602" w:type="pct"/>
            <w:tcBorders>
              <w:top w:val="nil"/>
              <w:left w:val="nil"/>
              <w:bottom w:val="single" w:color="auto" w:sz="4" w:space="0"/>
              <w:right w:val="single" w:color="auto" w:sz="4" w:space="0"/>
            </w:tcBorders>
            <w:shd w:val="clear" w:color="auto" w:fill="auto"/>
            <w:vAlign w:val="center"/>
          </w:tcPr>
          <w:p w14:paraId="75FE8992">
            <w:pPr>
              <w:widowControl/>
              <w:spacing w:line="240" w:lineRule="auto"/>
              <w:jc w:val="center"/>
              <w:rPr>
                <w:rFonts w:ascii="宋体" w:hAnsi="宋体" w:cs="宋体"/>
                <w:kern w:val="0"/>
                <w:sz w:val="21"/>
                <w:szCs w:val="21"/>
              </w:rPr>
            </w:pPr>
            <w:r>
              <w:rPr>
                <w:rFonts w:hint="eastAsia" w:ascii="宋体" w:hAnsi="宋体" w:cs="宋体"/>
                <w:kern w:val="0"/>
                <w:sz w:val="21"/>
                <w:szCs w:val="21"/>
              </w:rPr>
              <w:t xml:space="preserve">1.2 </w:t>
            </w:r>
          </w:p>
        </w:tc>
      </w:tr>
      <w:tr w14:paraId="717DD149">
        <w:tblPrEx>
          <w:tblCellMar>
            <w:top w:w="0" w:type="dxa"/>
            <w:left w:w="108" w:type="dxa"/>
            <w:bottom w:w="0" w:type="dxa"/>
            <w:right w:w="108" w:type="dxa"/>
          </w:tblCellMar>
        </w:tblPrEx>
        <w:trPr>
          <w:trHeight w:val="340" w:hRule="atLeast"/>
          <w:jc w:val="center"/>
        </w:trPr>
        <w:tc>
          <w:tcPr>
            <w:tcW w:w="853" w:type="pct"/>
            <w:tcBorders>
              <w:top w:val="nil"/>
              <w:left w:val="single" w:color="auto" w:sz="4" w:space="0"/>
              <w:bottom w:val="single" w:color="auto" w:sz="4" w:space="0"/>
              <w:right w:val="single" w:color="auto" w:sz="4" w:space="0"/>
            </w:tcBorders>
            <w:shd w:val="clear" w:color="auto" w:fill="auto"/>
            <w:vAlign w:val="center"/>
          </w:tcPr>
          <w:p w14:paraId="5A135CCC">
            <w:pPr>
              <w:widowControl/>
              <w:spacing w:line="240" w:lineRule="auto"/>
              <w:jc w:val="center"/>
              <w:rPr>
                <w:rFonts w:ascii="宋体" w:hAnsi="宋体" w:cs="宋体"/>
                <w:kern w:val="0"/>
                <w:sz w:val="21"/>
                <w:szCs w:val="21"/>
              </w:rPr>
            </w:pPr>
            <w:r>
              <w:rPr>
                <w:rFonts w:hint="eastAsia" w:ascii="宋体" w:hAnsi="宋体" w:cs="宋体"/>
                <w:kern w:val="0"/>
                <w:sz w:val="21"/>
                <w:szCs w:val="21"/>
              </w:rPr>
              <w:t>多媒体</w:t>
            </w:r>
          </w:p>
        </w:tc>
        <w:tc>
          <w:tcPr>
            <w:tcW w:w="3543" w:type="pct"/>
            <w:tcBorders>
              <w:top w:val="nil"/>
              <w:left w:val="nil"/>
              <w:bottom w:val="single" w:color="auto" w:sz="4" w:space="0"/>
              <w:right w:val="single" w:color="auto" w:sz="4" w:space="0"/>
            </w:tcBorders>
            <w:shd w:val="clear" w:color="auto" w:fill="auto"/>
            <w:vAlign w:val="center"/>
          </w:tcPr>
          <w:p w14:paraId="1EB8844A">
            <w:pPr>
              <w:widowControl/>
              <w:spacing w:line="240" w:lineRule="auto"/>
              <w:rPr>
                <w:rFonts w:ascii="宋体" w:hAnsi="宋体" w:cs="宋体"/>
                <w:kern w:val="0"/>
                <w:sz w:val="21"/>
                <w:szCs w:val="21"/>
              </w:rPr>
            </w:pPr>
            <w:r>
              <w:rPr>
                <w:rFonts w:hint="eastAsia" w:ascii="宋体" w:hAnsi="宋体" w:cs="宋体"/>
                <w:kern w:val="0"/>
                <w:sz w:val="21"/>
                <w:szCs w:val="21"/>
              </w:rPr>
              <w:t>多媒体数据处理；地理信息系统；教育和娱乐应用等</w:t>
            </w:r>
          </w:p>
        </w:tc>
        <w:tc>
          <w:tcPr>
            <w:tcW w:w="602" w:type="pct"/>
            <w:tcBorders>
              <w:top w:val="nil"/>
              <w:left w:val="nil"/>
              <w:bottom w:val="single" w:color="auto" w:sz="4" w:space="0"/>
              <w:right w:val="single" w:color="auto" w:sz="4" w:space="0"/>
            </w:tcBorders>
            <w:shd w:val="clear" w:color="auto" w:fill="auto"/>
            <w:vAlign w:val="center"/>
          </w:tcPr>
          <w:p w14:paraId="71E4C1B3">
            <w:pPr>
              <w:widowControl/>
              <w:spacing w:line="240" w:lineRule="auto"/>
              <w:jc w:val="center"/>
              <w:rPr>
                <w:rFonts w:ascii="宋体" w:hAnsi="宋体" w:cs="宋体"/>
                <w:kern w:val="0"/>
                <w:sz w:val="21"/>
                <w:szCs w:val="21"/>
              </w:rPr>
            </w:pPr>
            <w:r>
              <w:rPr>
                <w:rFonts w:hint="eastAsia" w:ascii="宋体" w:hAnsi="宋体" w:cs="宋体"/>
                <w:kern w:val="0"/>
                <w:sz w:val="21"/>
                <w:szCs w:val="21"/>
              </w:rPr>
              <w:t xml:space="preserve">1.3 </w:t>
            </w:r>
          </w:p>
        </w:tc>
      </w:tr>
      <w:tr w14:paraId="780C1C89">
        <w:tblPrEx>
          <w:tblCellMar>
            <w:top w:w="0" w:type="dxa"/>
            <w:left w:w="108" w:type="dxa"/>
            <w:bottom w:w="0" w:type="dxa"/>
            <w:right w:w="108" w:type="dxa"/>
          </w:tblCellMar>
        </w:tblPrEx>
        <w:trPr>
          <w:trHeight w:val="340" w:hRule="atLeast"/>
          <w:jc w:val="center"/>
        </w:trPr>
        <w:tc>
          <w:tcPr>
            <w:tcW w:w="853" w:type="pct"/>
            <w:tcBorders>
              <w:top w:val="nil"/>
              <w:left w:val="single" w:color="auto" w:sz="4" w:space="0"/>
              <w:bottom w:val="single" w:color="auto" w:sz="4" w:space="0"/>
              <w:right w:val="single" w:color="auto" w:sz="4" w:space="0"/>
            </w:tcBorders>
            <w:shd w:val="clear" w:color="auto" w:fill="auto"/>
            <w:vAlign w:val="center"/>
          </w:tcPr>
          <w:p w14:paraId="4B9DFBB0">
            <w:pPr>
              <w:widowControl/>
              <w:spacing w:line="240" w:lineRule="auto"/>
              <w:jc w:val="center"/>
              <w:rPr>
                <w:rFonts w:ascii="宋体" w:hAnsi="宋体" w:cs="宋体"/>
                <w:kern w:val="0"/>
                <w:sz w:val="21"/>
                <w:szCs w:val="21"/>
              </w:rPr>
            </w:pPr>
            <w:r>
              <w:rPr>
                <w:rFonts w:hint="eastAsia" w:ascii="宋体" w:hAnsi="宋体" w:cs="宋体"/>
                <w:kern w:val="0"/>
                <w:sz w:val="21"/>
                <w:szCs w:val="21"/>
              </w:rPr>
              <w:t>智能信息</w:t>
            </w:r>
          </w:p>
        </w:tc>
        <w:tc>
          <w:tcPr>
            <w:tcW w:w="3543" w:type="pct"/>
            <w:tcBorders>
              <w:top w:val="nil"/>
              <w:left w:val="nil"/>
              <w:bottom w:val="single" w:color="auto" w:sz="4" w:space="0"/>
              <w:right w:val="single" w:color="auto" w:sz="4" w:space="0"/>
            </w:tcBorders>
            <w:shd w:val="clear" w:color="auto" w:fill="auto"/>
            <w:vAlign w:val="center"/>
          </w:tcPr>
          <w:p w14:paraId="3B3B1FC7">
            <w:pPr>
              <w:widowControl/>
              <w:spacing w:line="240" w:lineRule="auto"/>
              <w:rPr>
                <w:rFonts w:ascii="宋体" w:hAnsi="宋体" w:cs="宋体"/>
                <w:kern w:val="0"/>
                <w:sz w:val="21"/>
                <w:szCs w:val="21"/>
              </w:rPr>
            </w:pPr>
            <w:r>
              <w:rPr>
                <w:rFonts w:hint="eastAsia" w:ascii="宋体" w:hAnsi="宋体" w:cs="宋体"/>
                <w:kern w:val="0"/>
                <w:sz w:val="21"/>
                <w:szCs w:val="21"/>
              </w:rPr>
              <w:t>自然语言处理、人工智能、专家系统等</w:t>
            </w:r>
          </w:p>
        </w:tc>
        <w:tc>
          <w:tcPr>
            <w:tcW w:w="602" w:type="pct"/>
            <w:tcBorders>
              <w:top w:val="nil"/>
              <w:left w:val="nil"/>
              <w:bottom w:val="single" w:color="auto" w:sz="4" w:space="0"/>
              <w:right w:val="single" w:color="auto" w:sz="4" w:space="0"/>
            </w:tcBorders>
            <w:shd w:val="clear" w:color="auto" w:fill="auto"/>
            <w:vAlign w:val="center"/>
          </w:tcPr>
          <w:p w14:paraId="04720729">
            <w:pPr>
              <w:widowControl/>
              <w:spacing w:line="240" w:lineRule="auto"/>
              <w:jc w:val="center"/>
              <w:rPr>
                <w:rFonts w:ascii="宋体" w:hAnsi="宋体" w:cs="宋体"/>
                <w:kern w:val="0"/>
                <w:sz w:val="21"/>
                <w:szCs w:val="21"/>
              </w:rPr>
            </w:pPr>
            <w:r>
              <w:rPr>
                <w:rFonts w:hint="eastAsia" w:ascii="宋体" w:hAnsi="宋体" w:cs="宋体"/>
                <w:kern w:val="0"/>
                <w:sz w:val="21"/>
                <w:szCs w:val="21"/>
              </w:rPr>
              <w:t xml:space="preserve">1.7 </w:t>
            </w:r>
          </w:p>
        </w:tc>
      </w:tr>
      <w:tr w14:paraId="192198D7">
        <w:tblPrEx>
          <w:tblCellMar>
            <w:top w:w="0" w:type="dxa"/>
            <w:left w:w="108" w:type="dxa"/>
            <w:bottom w:w="0" w:type="dxa"/>
            <w:right w:w="108" w:type="dxa"/>
          </w:tblCellMar>
        </w:tblPrEx>
        <w:trPr>
          <w:trHeight w:val="340" w:hRule="atLeast"/>
          <w:jc w:val="center"/>
        </w:trPr>
        <w:tc>
          <w:tcPr>
            <w:tcW w:w="853" w:type="pct"/>
            <w:tcBorders>
              <w:top w:val="nil"/>
              <w:left w:val="single" w:color="auto" w:sz="4" w:space="0"/>
              <w:bottom w:val="single" w:color="auto" w:sz="4" w:space="0"/>
              <w:right w:val="single" w:color="auto" w:sz="4" w:space="0"/>
            </w:tcBorders>
            <w:shd w:val="clear" w:color="auto" w:fill="auto"/>
            <w:vAlign w:val="center"/>
          </w:tcPr>
          <w:p w14:paraId="17CBE05E">
            <w:pPr>
              <w:widowControl/>
              <w:spacing w:line="240" w:lineRule="auto"/>
              <w:jc w:val="center"/>
              <w:rPr>
                <w:rFonts w:ascii="宋体" w:hAnsi="宋体" w:cs="宋体"/>
                <w:kern w:val="0"/>
                <w:sz w:val="21"/>
                <w:szCs w:val="21"/>
              </w:rPr>
            </w:pPr>
            <w:r>
              <w:rPr>
                <w:rFonts w:hint="eastAsia" w:ascii="宋体" w:hAnsi="宋体" w:cs="宋体"/>
                <w:kern w:val="0"/>
                <w:sz w:val="21"/>
                <w:szCs w:val="21"/>
              </w:rPr>
              <w:t>系统</w:t>
            </w:r>
          </w:p>
        </w:tc>
        <w:tc>
          <w:tcPr>
            <w:tcW w:w="3543" w:type="pct"/>
            <w:tcBorders>
              <w:top w:val="nil"/>
              <w:left w:val="nil"/>
              <w:bottom w:val="single" w:color="auto" w:sz="4" w:space="0"/>
              <w:right w:val="single" w:color="auto" w:sz="4" w:space="0"/>
            </w:tcBorders>
            <w:shd w:val="clear" w:color="auto" w:fill="auto"/>
            <w:vAlign w:val="center"/>
          </w:tcPr>
          <w:p w14:paraId="439C1BEB">
            <w:pPr>
              <w:widowControl/>
              <w:spacing w:line="240" w:lineRule="auto"/>
              <w:rPr>
                <w:rFonts w:ascii="宋体" w:hAnsi="宋体" w:cs="宋体"/>
                <w:kern w:val="0"/>
                <w:sz w:val="21"/>
                <w:szCs w:val="21"/>
              </w:rPr>
            </w:pPr>
            <w:r>
              <w:rPr>
                <w:rFonts w:hint="eastAsia" w:ascii="宋体" w:hAnsi="宋体" w:cs="宋体"/>
                <w:kern w:val="0"/>
                <w:sz w:val="21"/>
                <w:szCs w:val="21"/>
              </w:rPr>
              <w:t>操作系统、数据库系统、集成开发环境、自动化开发/设计工具等</w:t>
            </w:r>
          </w:p>
        </w:tc>
        <w:tc>
          <w:tcPr>
            <w:tcW w:w="602" w:type="pct"/>
            <w:tcBorders>
              <w:top w:val="nil"/>
              <w:left w:val="nil"/>
              <w:bottom w:val="single" w:color="auto" w:sz="4" w:space="0"/>
              <w:right w:val="single" w:color="auto" w:sz="4" w:space="0"/>
            </w:tcBorders>
            <w:shd w:val="clear" w:color="auto" w:fill="auto"/>
            <w:vAlign w:val="center"/>
          </w:tcPr>
          <w:p w14:paraId="0AD1766D">
            <w:pPr>
              <w:widowControl/>
              <w:spacing w:line="240" w:lineRule="auto"/>
              <w:jc w:val="center"/>
              <w:rPr>
                <w:rFonts w:ascii="宋体" w:hAnsi="宋体" w:cs="宋体"/>
                <w:kern w:val="0"/>
                <w:sz w:val="21"/>
                <w:szCs w:val="21"/>
              </w:rPr>
            </w:pPr>
            <w:r>
              <w:rPr>
                <w:rFonts w:hint="eastAsia" w:ascii="宋体" w:hAnsi="宋体" w:cs="宋体"/>
                <w:kern w:val="0"/>
                <w:sz w:val="21"/>
                <w:szCs w:val="21"/>
              </w:rPr>
              <w:t xml:space="preserve">1.7 </w:t>
            </w:r>
          </w:p>
        </w:tc>
      </w:tr>
      <w:tr w14:paraId="7571092A">
        <w:tblPrEx>
          <w:tblCellMar>
            <w:top w:w="0" w:type="dxa"/>
            <w:left w:w="108" w:type="dxa"/>
            <w:bottom w:w="0" w:type="dxa"/>
            <w:right w:w="108" w:type="dxa"/>
          </w:tblCellMar>
        </w:tblPrEx>
        <w:trPr>
          <w:trHeight w:val="340" w:hRule="atLeast"/>
          <w:jc w:val="center"/>
        </w:trPr>
        <w:tc>
          <w:tcPr>
            <w:tcW w:w="853" w:type="pct"/>
            <w:tcBorders>
              <w:top w:val="nil"/>
              <w:left w:val="single" w:color="auto" w:sz="4" w:space="0"/>
              <w:bottom w:val="single" w:color="auto" w:sz="4" w:space="0"/>
              <w:right w:val="single" w:color="auto" w:sz="4" w:space="0"/>
            </w:tcBorders>
            <w:shd w:val="clear" w:color="auto" w:fill="auto"/>
            <w:vAlign w:val="center"/>
          </w:tcPr>
          <w:p w14:paraId="4994E3CC">
            <w:pPr>
              <w:widowControl/>
              <w:spacing w:line="240" w:lineRule="auto"/>
              <w:jc w:val="center"/>
              <w:rPr>
                <w:rFonts w:ascii="宋体" w:hAnsi="宋体" w:cs="宋体"/>
                <w:kern w:val="0"/>
                <w:sz w:val="21"/>
                <w:szCs w:val="21"/>
              </w:rPr>
            </w:pPr>
            <w:r>
              <w:rPr>
                <w:rFonts w:hint="eastAsia" w:ascii="宋体" w:hAnsi="宋体" w:cs="宋体"/>
                <w:kern w:val="0"/>
                <w:sz w:val="21"/>
                <w:szCs w:val="21"/>
              </w:rPr>
              <w:t>通信控制</w:t>
            </w:r>
          </w:p>
        </w:tc>
        <w:tc>
          <w:tcPr>
            <w:tcW w:w="3543" w:type="pct"/>
            <w:tcBorders>
              <w:top w:val="nil"/>
              <w:left w:val="nil"/>
              <w:bottom w:val="single" w:color="auto" w:sz="4" w:space="0"/>
              <w:right w:val="single" w:color="auto" w:sz="4" w:space="0"/>
            </w:tcBorders>
            <w:shd w:val="clear" w:color="auto" w:fill="auto"/>
            <w:vAlign w:val="center"/>
          </w:tcPr>
          <w:p w14:paraId="31B17B52">
            <w:pPr>
              <w:widowControl/>
              <w:spacing w:line="240" w:lineRule="auto"/>
              <w:rPr>
                <w:rFonts w:ascii="宋体" w:hAnsi="宋体" w:cs="宋体"/>
                <w:kern w:val="0"/>
                <w:sz w:val="21"/>
                <w:szCs w:val="21"/>
              </w:rPr>
            </w:pPr>
            <w:r>
              <w:rPr>
                <w:rFonts w:hint="eastAsia" w:ascii="宋体" w:hAnsi="宋体" w:cs="宋体"/>
                <w:kern w:val="0"/>
                <w:sz w:val="21"/>
                <w:szCs w:val="21"/>
              </w:rPr>
              <w:t>通信协议、仿真、交换机软件、全球定位系统等</w:t>
            </w:r>
          </w:p>
        </w:tc>
        <w:tc>
          <w:tcPr>
            <w:tcW w:w="602" w:type="pct"/>
            <w:tcBorders>
              <w:top w:val="nil"/>
              <w:left w:val="nil"/>
              <w:bottom w:val="single" w:color="auto" w:sz="4" w:space="0"/>
              <w:right w:val="single" w:color="auto" w:sz="4" w:space="0"/>
            </w:tcBorders>
            <w:shd w:val="clear" w:color="auto" w:fill="auto"/>
            <w:vAlign w:val="center"/>
          </w:tcPr>
          <w:p w14:paraId="0667D0C4">
            <w:pPr>
              <w:widowControl/>
              <w:spacing w:line="240" w:lineRule="auto"/>
              <w:jc w:val="center"/>
              <w:rPr>
                <w:rFonts w:ascii="宋体" w:hAnsi="宋体" w:cs="宋体"/>
                <w:kern w:val="0"/>
                <w:sz w:val="21"/>
                <w:szCs w:val="21"/>
              </w:rPr>
            </w:pPr>
            <w:r>
              <w:rPr>
                <w:rFonts w:hint="eastAsia" w:ascii="宋体" w:hAnsi="宋体" w:cs="宋体"/>
                <w:kern w:val="0"/>
                <w:sz w:val="21"/>
                <w:szCs w:val="21"/>
              </w:rPr>
              <w:t xml:space="preserve">1.9 </w:t>
            </w:r>
          </w:p>
        </w:tc>
      </w:tr>
      <w:tr w14:paraId="050257AF">
        <w:tblPrEx>
          <w:tblCellMar>
            <w:top w:w="0" w:type="dxa"/>
            <w:left w:w="108" w:type="dxa"/>
            <w:bottom w:w="0" w:type="dxa"/>
            <w:right w:w="108" w:type="dxa"/>
          </w:tblCellMar>
        </w:tblPrEx>
        <w:trPr>
          <w:trHeight w:val="340" w:hRule="atLeast"/>
          <w:jc w:val="center"/>
        </w:trPr>
        <w:tc>
          <w:tcPr>
            <w:tcW w:w="853" w:type="pct"/>
            <w:tcBorders>
              <w:top w:val="nil"/>
              <w:left w:val="single" w:color="auto" w:sz="4" w:space="0"/>
              <w:bottom w:val="single" w:color="auto" w:sz="4" w:space="0"/>
              <w:right w:val="single" w:color="auto" w:sz="4" w:space="0"/>
            </w:tcBorders>
            <w:shd w:val="clear" w:color="auto" w:fill="auto"/>
            <w:vAlign w:val="center"/>
          </w:tcPr>
          <w:p w14:paraId="18A8F513">
            <w:pPr>
              <w:widowControl/>
              <w:spacing w:line="240" w:lineRule="auto"/>
              <w:jc w:val="center"/>
              <w:rPr>
                <w:rFonts w:ascii="宋体" w:hAnsi="宋体" w:cs="宋体"/>
                <w:kern w:val="0"/>
                <w:sz w:val="21"/>
                <w:szCs w:val="21"/>
              </w:rPr>
            </w:pPr>
            <w:r>
              <w:rPr>
                <w:rFonts w:hint="eastAsia" w:ascii="宋体" w:hAnsi="宋体" w:cs="宋体"/>
                <w:kern w:val="0"/>
                <w:sz w:val="21"/>
                <w:szCs w:val="21"/>
              </w:rPr>
              <w:t>流程控制</w:t>
            </w:r>
          </w:p>
        </w:tc>
        <w:tc>
          <w:tcPr>
            <w:tcW w:w="3543" w:type="pct"/>
            <w:tcBorders>
              <w:top w:val="nil"/>
              <w:left w:val="nil"/>
              <w:bottom w:val="single" w:color="auto" w:sz="4" w:space="0"/>
              <w:right w:val="single" w:color="auto" w:sz="4" w:space="0"/>
            </w:tcBorders>
            <w:shd w:val="clear" w:color="auto" w:fill="auto"/>
            <w:vAlign w:val="center"/>
          </w:tcPr>
          <w:p w14:paraId="77C4659A">
            <w:pPr>
              <w:widowControl/>
              <w:spacing w:line="240" w:lineRule="auto"/>
              <w:rPr>
                <w:rFonts w:ascii="宋体" w:hAnsi="宋体" w:cs="宋体"/>
                <w:kern w:val="0"/>
                <w:sz w:val="21"/>
                <w:szCs w:val="21"/>
              </w:rPr>
            </w:pPr>
            <w:r>
              <w:rPr>
                <w:rFonts w:hint="eastAsia" w:ascii="宋体" w:hAnsi="宋体" w:cs="宋体"/>
                <w:kern w:val="0"/>
                <w:sz w:val="21"/>
                <w:szCs w:val="21"/>
              </w:rPr>
              <w:t>生产管理、仪器控制、机器人控制、实时控制、嵌入式软件等</w:t>
            </w:r>
          </w:p>
        </w:tc>
        <w:tc>
          <w:tcPr>
            <w:tcW w:w="602" w:type="pct"/>
            <w:tcBorders>
              <w:top w:val="nil"/>
              <w:left w:val="nil"/>
              <w:bottom w:val="single" w:color="auto" w:sz="4" w:space="0"/>
              <w:right w:val="single" w:color="auto" w:sz="4" w:space="0"/>
            </w:tcBorders>
            <w:shd w:val="clear" w:color="auto" w:fill="auto"/>
            <w:vAlign w:val="center"/>
          </w:tcPr>
          <w:p w14:paraId="1F8B65DA">
            <w:pPr>
              <w:widowControl/>
              <w:spacing w:line="240" w:lineRule="auto"/>
              <w:jc w:val="center"/>
              <w:rPr>
                <w:rFonts w:ascii="宋体" w:hAnsi="宋体" w:cs="宋体"/>
                <w:kern w:val="0"/>
                <w:sz w:val="21"/>
                <w:szCs w:val="21"/>
              </w:rPr>
            </w:pPr>
            <w:r>
              <w:rPr>
                <w:rFonts w:hint="eastAsia" w:ascii="宋体" w:hAnsi="宋体" w:cs="宋体"/>
                <w:kern w:val="0"/>
                <w:sz w:val="21"/>
                <w:szCs w:val="21"/>
              </w:rPr>
              <w:t xml:space="preserve">2.0 </w:t>
            </w:r>
          </w:p>
        </w:tc>
      </w:tr>
    </w:tbl>
    <w:p w14:paraId="6DE92B3A">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A.5.3 质量及特性</w:t>
      </w:r>
    </w:p>
    <w:p w14:paraId="33CF8F71">
      <w:pPr>
        <w:pStyle w:val="142"/>
        <w:keepNext w:val="0"/>
        <w:keepLines w:val="0"/>
        <w:pageBreakBefore w:val="0"/>
        <w:widowControl/>
        <w:kinsoku/>
        <w:wordWrap/>
        <w:overflowPunct/>
        <w:topLinePunct w:val="0"/>
        <w:autoSpaceDE w:val="0"/>
        <w:autoSpaceDN w:val="0"/>
        <w:bidi w:val="0"/>
        <w:adjustRightInd/>
        <w:snapToGrid/>
        <w:spacing w:line="240" w:lineRule="auto"/>
        <w:ind w:firstLine="420"/>
        <w:textAlignment w:val="auto"/>
        <w:rPr>
          <w:rFonts w:ascii="Times New Roman"/>
        </w:rPr>
      </w:pPr>
      <w:r>
        <w:rPr>
          <w:rFonts w:ascii="Times New Roman"/>
        </w:rPr>
        <w:t>请在Word文档中说明本项目所涉及到的质量及特性。</w:t>
      </w:r>
    </w:p>
    <w:p w14:paraId="1156D4B0">
      <w:pPr>
        <w:pStyle w:val="142"/>
        <w:spacing w:before="156" w:beforeLines="50" w:after="156" w:afterLines="50" w:line="240" w:lineRule="auto"/>
        <w:ind w:left="4620" w:leftChars="200" w:hanging="4200" w:hangingChars="2000"/>
        <w:jc w:val="center"/>
        <w:rPr>
          <w:rFonts w:ascii="Times New Roman"/>
        </w:rPr>
      </w:pPr>
      <w:r>
        <w:rPr>
          <w:rFonts w:hint="eastAsia" w:ascii="黑体" w:hAnsi="黑体" w:eastAsia="黑体" w:cs="黑体"/>
        </w:rPr>
        <w:t>表A.3  质量与特性</w:t>
      </w:r>
    </w:p>
    <w:tbl>
      <w:tblPr>
        <w:tblStyle w:val="33"/>
        <w:tblW w:w="5064" w:type="pct"/>
        <w:jc w:val="center"/>
        <w:tblLayout w:type="autofit"/>
        <w:tblCellMar>
          <w:top w:w="0" w:type="dxa"/>
          <w:left w:w="108" w:type="dxa"/>
          <w:bottom w:w="0" w:type="dxa"/>
          <w:right w:w="108" w:type="dxa"/>
        </w:tblCellMar>
      </w:tblPr>
      <w:tblGrid>
        <w:gridCol w:w="1138"/>
        <w:gridCol w:w="7404"/>
        <w:gridCol w:w="1150"/>
      </w:tblGrid>
      <w:tr w14:paraId="6E8BB071">
        <w:tblPrEx>
          <w:tblCellMar>
            <w:top w:w="0" w:type="dxa"/>
            <w:left w:w="108" w:type="dxa"/>
            <w:bottom w:w="0" w:type="dxa"/>
            <w:right w:w="108" w:type="dxa"/>
          </w:tblCellMar>
        </w:tblPrEx>
        <w:trPr>
          <w:trHeight w:val="90" w:hRule="atLeast"/>
          <w:tblHeader/>
          <w:jc w:val="center"/>
        </w:trPr>
        <w:tc>
          <w:tcPr>
            <w:tcW w:w="587" w:type="pct"/>
            <w:tcBorders>
              <w:top w:val="single" w:color="auto" w:sz="4" w:space="0"/>
              <w:left w:val="single" w:color="auto" w:sz="4" w:space="0"/>
              <w:bottom w:val="single" w:color="auto" w:sz="4" w:space="0"/>
              <w:right w:val="single" w:color="auto" w:sz="4" w:space="0"/>
            </w:tcBorders>
            <w:shd w:val="clear" w:color="auto" w:fill="auto"/>
            <w:vAlign w:val="center"/>
          </w:tcPr>
          <w:p w14:paraId="2498B6C3">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调整因子</w:t>
            </w:r>
          </w:p>
        </w:tc>
        <w:tc>
          <w:tcPr>
            <w:tcW w:w="3818" w:type="pct"/>
            <w:tcBorders>
              <w:top w:val="single" w:color="auto" w:sz="4" w:space="0"/>
              <w:left w:val="nil"/>
              <w:bottom w:val="single" w:color="auto" w:sz="4" w:space="0"/>
              <w:right w:val="single" w:color="auto" w:sz="4" w:space="0"/>
            </w:tcBorders>
            <w:shd w:val="clear" w:color="auto" w:fill="auto"/>
            <w:vAlign w:val="center"/>
          </w:tcPr>
          <w:p w14:paraId="75AC7596">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判断标准</w:t>
            </w:r>
          </w:p>
        </w:tc>
        <w:tc>
          <w:tcPr>
            <w:tcW w:w="593" w:type="pct"/>
            <w:tcBorders>
              <w:top w:val="single" w:color="auto" w:sz="4" w:space="0"/>
              <w:left w:val="nil"/>
              <w:bottom w:val="single" w:color="auto" w:sz="4" w:space="0"/>
              <w:right w:val="single" w:color="auto" w:sz="4" w:space="0"/>
            </w:tcBorders>
            <w:shd w:val="clear" w:color="auto" w:fill="auto"/>
            <w:vAlign w:val="center"/>
          </w:tcPr>
          <w:p w14:paraId="0E662A23">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调整因子</w:t>
            </w:r>
          </w:p>
        </w:tc>
      </w:tr>
      <w:tr w14:paraId="39B2C364">
        <w:tblPrEx>
          <w:tblCellMar>
            <w:top w:w="0" w:type="dxa"/>
            <w:left w:w="108" w:type="dxa"/>
            <w:bottom w:w="0" w:type="dxa"/>
            <w:right w:w="108" w:type="dxa"/>
          </w:tblCellMar>
        </w:tblPrEx>
        <w:trPr>
          <w:trHeight w:val="340" w:hRule="atLeast"/>
          <w:jc w:val="center"/>
        </w:trPr>
        <w:tc>
          <w:tcPr>
            <w:tcW w:w="587" w:type="pct"/>
            <w:vMerge w:val="restart"/>
            <w:tcBorders>
              <w:top w:val="nil"/>
              <w:left w:val="single" w:color="auto" w:sz="4" w:space="0"/>
              <w:bottom w:val="single" w:color="auto" w:sz="4" w:space="0"/>
              <w:right w:val="single" w:color="auto" w:sz="4" w:space="0"/>
            </w:tcBorders>
            <w:shd w:val="clear" w:color="auto" w:fill="auto"/>
            <w:vAlign w:val="center"/>
          </w:tcPr>
          <w:p w14:paraId="0488C063">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分布式</w:t>
            </w:r>
            <w:r>
              <w:rPr>
                <w:rFonts w:hint="eastAsia" w:asciiTheme="minorEastAsia" w:hAnsiTheme="minorEastAsia" w:eastAsiaTheme="minorEastAsia" w:cstheme="minorEastAsia"/>
                <w:kern w:val="0"/>
                <w:sz w:val="21"/>
                <w:szCs w:val="21"/>
              </w:rPr>
              <w:br w:type="textWrapping"/>
            </w:r>
            <w:r>
              <w:rPr>
                <w:rFonts w:hint="eastAsia" w:asciiTheme="minorEastAsia" w:hAnsiTheme="minorEastAsia" w:eastAsiaTheme="minorEastAsia" w:cstheme="minorEastAsia"/>
                <w:kern w:val="0"/>
                <w:sz w:val="21"/>
                <w:szCs w:val="21"/>
              </w:rPr>
              <w:t>处理</w:t>
            </w:r>
          </w:p>
        </w:tc>
        <w:tc>
          <w:tcPr>
            <w:tcW w:w="3818" w:type="pct"/>
            <w:tcBorders>
              <w:top w:val="nil"/>
              <w:left w:val="nil"/>
              <w:bottom w:val="single" w:color="auto" w:sz="4" w:space="0"/>
              <w:right w:val="single" w:color="auto" w:sz="4" w:space="0"/>
            </w:tcBorders>
            <w:shd w:val="clear" w:color="auto" w:fill="auto"/>
            <w:vAlign w:val="center"/>
          </w:tcPr>
          <w:p w14:paraId="48F5D54E">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没有明示对分布式处理的需求事项</w:t>
            </w:r>
          </w:p>
        </w:tc>
        <w:tc>
          <w:tcPr>
            <w:tcW w:w="593" w:type="pct"/>
            <w:tcBorders>
              <w:top w:val="nil"/>
              <w:left w:val="nil"/>
              <w:bottom w:val="single" w:color="auto" w:sz="4" w:space="0"/>
              <w:right w:val="single" w:color="auto" w:sz="4" w:space="0"/>
            </w:tcBorders>
            <w:shd w:val="clear" w:color="auto" w:fill="auto"/>
            <w:vAlign w:val="center"/>
          </w:tcPr>
          <w:p w14:paraId="29DF318D">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w:t>
            </w:r>
          </w:p>
        </w:tc>
      </w:tr>
      <w:tr w14:paraId="4AA125F2">
        <w:tblPrEx>
          <w:tblCellMar>
            <w:top w:w="0" w:type="dxa"/>
            <w:left w:w="108" w:type="dxa"/>
            <w:bottom w:w="0" w:type="dxa"/>
            <w:right w:w="108" w:type="dxa"/>
          </w:tblCellMar>
        </w:tblPrEx>
        <w:trPr>
          <w:trHeight w:val="340" w:hRule="atLeast"/>
          <w:jc w:val="center"/>
        </w:trPr>
        <w:tc>
          <w:tcPr>
            <w:tcW w:w="587" w:type="pct"/>
            <w:vMerge w:val="continue"/>
            <w:tcBorders>
              <w:top w:val="nil"/>
              <w:left w:val="single" w:color="auto" w:sz="4" w:space="0"/>
              <w:bottom w:val="single" w:color="auto" w:sz="4" w:space="0"/>
              <w:right w:val="single" w:color="auto" w:sz="4" w:space="0"/>
            </w:tcBorders>
            <w:shd w:val="clear" w:color="auto" w:fill="auto"/>
            <w:vAlign w:val="center"/>
          </w:tcPr>
          <w:p w14:paraId="2C253663">
            <w:pPr>
              <w:widowControl/>
              <w:jc w:val="left"/>
              <w:rPr>
                <w:rFonts w:hint="eastAsia" w:asciiTheme="minorEastAsia" w:hAnsiTheme="minorEastAsia" w:eastAsiaTheme="minorEastAsia" w:cstheme="minorEastAsia"/>
                <w:kern w:val="0"/>
                <w:sz w:val="21"/>
                <w:szCs w:val="21"/>
              </w:rPr>
            </w:pPr>
          </w:p>
        </w:tc>
        <w:tc>
          <w:tcPr>
            <w:tcW w:w="3818" w:type="pct"/>
            <w:tcBorders>
              <w:top w:val="nil"/>
              <w:left w:val="nil"/>
              <w:bottom w:val="single" w:color="auto" w:sz="4" w:space="0"/>
              <w:right w:val="single" w:color="auto" w:sz="4" w:space="0"/>
            </w:tcBorders>
            <w:shd w:val="clear" w:color="auto" w:fill="auto"/>
            <w:vAlign w:val="center"/>
          </w:tcPr>
          <w:p w14:paraId="3C387478">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通过网络进行客户端/服务器及网络基础应用分布处理和传输</w:t>
            </w:r>
          </w:p>
        </w:tc>
        <w:tc>
          <w:tcPr>
            <w:tcW w:w="593" w:type="pct"/>
            <w:tcBorders>
              <w:top w:val="nil"/>
              <w:left w:val="nil"/>
              <w:bottom w:val="single" w:color="auto" w:sz="4" w:space="0"/>
              <w:right w:val="single" w:color="auto" w:sz="4" w:space="0"/>
            </w:tcBorders>
            <w:shd w:val="clear" w:color="auto" w:fill="auto"/>
            <w:vAlign w:val="center"/>
          </w:tcPr>
          <w:p w14:paraId="56328C28">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0</w:t>
            </w:r>
          </w:p>
        </w:tc>
      </w:tr>
      <w:tr w14:paraId="34492451">
        <w:tblPrEx>
          <w:tblCellMar>
            <w:top w:w="0" w:type="dxa"/>
            <w:left w:w="108" w:type="dxa"/>
            <w:bottom w:w="0" w:type="dxa"/>
            <w:right w:w="108" w:type="dxa"/>
          </w:tblCellMar>
        </w:tblPrEx>
        <w:trPr>
          <w:trHeight w:val="340" w:hRule="atLeast"/>
          <w:jc w:val="center"/>
        </w:trPr>
        <w:tc>
          <w:tcPr>
            <w:tcW w:w="587" w:type="pct"/>
            <w:vMerge w:val="continue"/>
            <w:tcBorders>
              <w:top w:val="nil"/>
              <w:left w:val="single" w:color="auto" w:sz="4" w:space="0"/>
              <w:bottom w:val="single" w:color="auto" w:sz="4" w:space="0"/>
              <w:right w:val="single" w:color="auto" w:sz="4" w:space="0"/>
            </w:tcBorders>
            <w:shd w:val="clear" w:color="auto" w:fill="auto"/>
            <w:vAlign w:val="center"/>
          </w:tcPr>
          <w:p w14:paraId="78F32D4D">
            <w:pPr>
              <w:widowControl/>
              <w:jc w:val="left"/>
              <w:rPr>
                <w:rFonts w:hint="eastAsia" w:asciiTheme="minorEastAsia" w:hAnsiTheme="minorEastAsia" w:eastAsiaTheme="minorEastAsia" w:cstheme="minorEastAsia"/>
                <w:kern w:val="0"/>
                <w:sz w:val="21"/>
                <w:szCs w:val="21"/>
              </w:rPr>
            </w:pPr>
          </w:p>
        </w:tc>
        <w:tc>
          <w:tcPr>
            <w:tcW w:w="3818" w:type="pct"/>
            <w:tcBorders>
              <w:top w:val="nil"/>
              <w:left w:val="nil"/>
              <w:bottom w:val="single" w:color="auto" w:sz="4" w:space="0"/>
              <w:right w:val="single" w:color="auto" w:sz="4" w:space="0"/>
            </w:tcBorders>
            <w:shd w:val="clear" w:color="auto" w:fill="auto"/>
            <w:vAlign w:val="center"/>
          </w:tcPr>
          <w:p w14:paraId="2376E2EC">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通过特别的设计保证在多个服务器及处理器上同时相互执行应用中的处理功能</w:t>
            </w:r>
          </w:p>
        </w:tc>
        <w:tc>
          <w:tcPr>
            <w:tcW w:w="593" w:type="pct"/>
            <w:tcBorders>
              <w:top w:val="nil"/>
              <w:left w:val="nil"/>
              <w:bottom w:val="single" w:color="auto" w:sz="4" w:space="0"/>
              <w:right w:val="single" w:color="auto" w:sz="4" w:space="0"/>
            </w:tcBorders>
            <w:shd w:val="clear" w:color="auto" w:fill="auto"/>
            <w:vAlign w:val="center"/>
          </w:tcPr>
          <w:p w14:paraId="11D7FE25">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w:t>
            </w:r>
          </w:p>
        </w:tc>
      </w:tr>
      <w:tr w14:paraId="70E4EF76">
        <w:tblPrEx>
          <w:tblCellMar>
            <w:top w:w="0" w:type="dxa"/>
            <w:left w:w="108" w:type="dxa"/>
            <w:bottom w:w="0" w:type="dxa"/>
            <w:right w:w="108" w:type="dxa"/>
          </w:tblCellMar>
        </w:tblPrEx>
        <w:trPr>
          <w:trHeight w:val="340" w:hRule="atLeast"/>
          <w:jc w:val="center"/>
        </w:trPr>
        <w:tc>
          <w:tcPr>
            <w:tcW w:w="587" w:type="pct"/>
            <w:vMerge w:val="restart"/>
            <w:tcBorders>
              <w:top w:val="nil"/>
              <w:left w:val="single" w:color="auto" w:sz="4" w:space="0"/>
              <w:bottom w:val="single" w:color="auto" w:sz="4" w:space="0"/>
              <w:right w:val="single" w:color="auto" w:sz="4" w:space="0"/>
            </w:tcBorders>
            <w:shd w:val="clear" w:color="auto" w:fill="auto"/>
            <w:vAlign w:val="center"/>
          </w:tcPr>
          <w:p w14:paraId="67E51B00">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性能</w:t>
            </w:r>
          </w:p>
        </w:tc>
        <w:tc>
          <w:tcPr>
            <w:tcW w:w="3818" w:type="pct"/>
            <w:tcBorders>
              <w:top w:val="nil"/>
              <w:left w:val="nil"/>
              <w:bottom w:val="single" w:color="auto" w:sz="4" w:space="0"/>
              <w:right w:val="single" w:color="auto" w:sz="4" w:space="0"/>
            </w:tcBorders>
            <w:shd w:val="clear" w:color="auto" w:fill="auto"/>
            <w:vAlign w:val="center"/>
          </w:tcPr>
          <w:p w14:paraId="19F74235">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没有明示对性能的特别需求事项或仅需提供基本性能</w:t>
            </w:r>
          </w:p>
        </w:tc>
        <w:tc>
          <w:tcPr>
            <w:tcW w:w="593" w:type="pct"/>
            <w:tcBorders>
              <w:top w:val="nil"/>
              <w:left w:val="nil"/>
              <w:bottom w:val="single" w:color="auto" w:sz="4" w:space="0"/>
              <w:right w:val="single" w:color="auto" w:sz="4" w:space="0"/>
            </w:tcBorders>
            <w:shd w:val="clear" w:color="auto" w:fill="auto"/>
            <w:vAlign w:val="center"/>
          </w:tcPr>
          <w:p w14:paraId="03E22890">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w:t>
            </w:r>
          </w:p>
        </w:tc>
      </w:tr>
      <w:tr w14:paraId="38C31ABA">
        <w:tblPrEx>
          <w:tblCellMar>
            <w:top w:w="0" w:type="dxa"/>
            <w:left w:w="108" w:type="dxa"/>
            <w:bottom w:w="0" w:type="dxa"/>
            <w:right w:w="108" w:type="dxa"/>
          </w:tblCellMar>
        </w:tblPrEx>
        <w:trPr>
          <w:trHeight w:val="340" w:hRule="atLeast"/>
          <w:jc w:val="center"/>
        </w:trPr>
        <w:tc>
          <w:tcPr>
            <w:tcW w:w="587" w:type="pct"/>
            <w:vMerge w:val="continue"/>
            <w:tcBorders>
              <w:top w:val="nil"/>
              <w:left w:val="single" w:color="auto" w:sz="4" w:space="0"/>
              <w:bottom w:val="single" w:color="auto" w:sz="4" w:space="0"/>
              <w:right w:val="single" w:color="auto" w:sz="4" w:space="0"/>
            </w:tcBorders>
            <w:shd w:val="clear" w:color="auto" w:fill="auto"/>
            <w:vAlign w:val="center"/>
          </w:tcPr>
          <w:p w14:paraId="73E626DA">
            <w:pPr>
              <w:widowControl/>
              <w:jc w:val="left"/>
              <w:rPr>
                <w:rFonts w:hint="eastAsia" w:asciiTheme="minorEastAsia" w:hAnsiTheme="minorEastAsia" w:eastAsiaTheme="minorEastAsia" w:cstheme="minorEastAsia"/>
                <w:kern w:val="0"/>
                <w:sz w:val="21"/>
                <w:szCs w:val="21"/>
              </w:rPr>
            </w:pPr>
          </w:p>
        </w:tc>
        <w:tc>
          <w:tcPr>
            <w:tcW w:w="3818" w:type="pct"/>
            <w:tcBorders>
              <w:top w:val="nil"/>
              <w:left w:val="nil"/>
              <w:bottom w:val="single" w:color="auto" w:sz="4" w:space="0"/>
              <w:right w:val="single" w:color="auto" w:sz="4" w:space="0"/>
            </w:tcBorders>
            <w:shd w:val="clear" w:color="auto" w:fill="auto"/>
            <w:vAlign w:val="center"/>
          </w:tcPr>
          <w:p w14:paraId="1C0ABAFF">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应答时间或处理率对高峰时间或所有业务时间来说都很重要，存在对连动系统结束处理时间的限制</w:t>
            </w:r>
          </w:p>
        </w:tc>
        <w:tc>
          <w:tcPr>
            <w:tcW w:w="593" w:type="pct"/>
            <w:tcBorders>
              <w:top w:val="nil"/>
              <w:left w:val="nil"/>
              <w:bottom w:val="single" w:color="auto" w:sz="4" w:space="0"/>
              <w:right w:val="single" w:color="auto" w:sz="4" w:space="0"/>
            </w:tcBorders>
            <w:shd w:val="clear" w:color="auto" w:fill="auto"/>
            <w:vAlign w:val="center"/>
          </w:tcPr>
          <w:p w14:paraId="3180C37D">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0</w:t>
            </w:r>
          </w:p>
        </w:tc>
      </w:tr>
      <w:tr w14:paraId="59B76195">
        <w:tblPrEx>
          <w:tblCellMar>
            <w:top w:w="0" w:type="dxa"/>
            <w:left w:w="108" w:type="dxa"/>
            <w:bottom w:w="0" w:type="dxa"/>
            <w:right w:w="108" w:type="dxa"/>
          </w:tblCellMar>
        </w:tblPrEx>
        <w:trPr>
          <w:trHeight w:val="340" w:hRule="atLeast"/>
          <w:jc w:val="center"/>
        </w:trPr>
        <w:tc>
          <w:tcPr>
            <w:tcW w:w="587" w:type="pct"/>
            <w:vMerge w:val="continue"/>
            <w:tcBorders>
              <w:top w:val="nil"/>
              <w:left w:val="single" w:color="auto" w:sz="4" w:space="0"/>
              <w:bottom w:val="single" w:color="auto" w:sz="4" w:space="0"/>
              <w:right w:val="single" w:color="auto" w:sz="4" w:space="0"/>
            </w:tcBorders>
            <w:shd w:val="clear" w:color="auto" w:fill="auto"/>
            <w:vAlign w:val="center"/>
          </w:tcPr>
          <w:p w14:paraId="05A23AB0">
            <w:pPr>
              <w:widowControl/>
              <w:jc w:val="left"/>
              <w:rPr>
                <w:rFonts w:hint="eastAsia" w:asciiTheme="minorEastAsia" w:hAnsiTheme="minorEastAsia" w:eastAsiaTheme="minorEastAsia" w:cstheme="minorEastAsia"/>
                <w:kern w:val="0"/>
                <w:sz w:val="21"/>
                <w:szCs w:val="21"/>
              </w:rPr>
            </w:pPr>
          </w:p>
        </w:tc>
        <w:tc>
          <w:tcPr>
            <w:tcW w:w="3818" w:type="pct"/>
            <w:tcBorders>
              <w:top w:val="nil"/>
              <w:left w:val="nil"/>
              <w:bottom w:val="single" w:color="auto" w:sz="4" w:space="0"/>
              <w:right w:val="single" w:color="auto" w:sz="4" w:space="0"/>
            </w:tcBorders>
            <w:shd w:val="clear" w:color="auto" w:fill="auto"/>
            <w:vAlign w:val="center"/>
          </w:tcPr>
          <w:p w14:paraId="62FFCEEB">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为满足性能需求事项，要求设计阶段开始进行性能分析，或在设计、开发阶段使用分析工具</w:t>
            </w:r>
          </w:p>
        </w:tc>
        <w:tc>
          <w:tcPr>
            <w:tcW w:w="593" w:type="pct"/>
            <w:tcBorders>
              <w:top w:val="nil"/>
              <w:left w:val="nil"/>
              <w:bottom w:val="single" w:color="auto" w:sz="4" w:space="0"/>
              <w:right w:val="single" w:color="auto" w:sz="4" w:space="0"/>
            </w:tcBorders>
            <w:shd w:val="clear" w:color="auto" w:fill="auto"/>
            <w:vAlign w:val="center"/>
          </w:tcPr>
          <w:p w14:paraId="55C90AA2">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w:t>
            </w:r>
          </w:p>
        </w:tc>
      </w:tr>
      <w:tr w14:paraId="5C3B51D1">
        <w:tblPrEx>
          <w:tblCellMar>
            <w:top w:w="0" w:type="dxa"/>
            <w:left w:w="108" w:type="dxa"/>
            <w:bottom w:w="0" w:type="dxa"/>
            <w:right w:w="108" w:type="dxa"/>
          </w:tblCellMar>
        </w:tblPrEx>
        <w:trPr>
          <w:trHeight w:val="340" w:hRule="atLeast"/>
          <w:jc w:val="center"/>
        </w:trPr>
        <w:tc>
          <w:tcPr>
            <w:tcW w:w="587" w:type="pct"/>
            <w:vMerge w:val="restart"/>
            <w:tcBorders>
              <w:top w:val="nil"/>
              <w:left w:val="single" w:color="auto" w:sz="4" w:space="0"/>
              <w:bottom w:val="single" w:color="auto" w:sz="4" w:space="0"/>
              <w:right w:val="single" w:color="auto" w:sz="4" w:space="0"/>
            </w:tcBorders>
            <w:shd w:val="clear" w:color="auto" w:fill="auto"/>
            <w:vAlign w:val="center"/>
          </w:tcPr>
          <w:p w14:paraId="3271B00E">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可靠性</w:t>
            </w:r>
          </w:p>
        </w:tc>
        <w:tc>
          <w:tcPr>
            <w:tcW w:w="3818" w:type="pct"/>
            <w:tcBorders>
              <w:top w:val="nil"/>
              <w:left w:val="nil"/>
              <w:bottom w:val="single" w:color="auto" w:sz="4" w:space="0"/>
              <w:right w:val="single" w:color="auto" w:sz="4" w:space="0"/>
            </w:tcBorders>
            <w:shd w:val="clear" w:color="auto" w:fill="auto"/>
            <w:vAlign w:val="center"/>
          </w:tcPr>
          <w:p w14:paraId="44F1622D">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没有明示对可靠性的特别需求事项或仅需提供基本的可靠性</w:t>
            </w:r>
          </w:p>
        </w:tc>
        <w:tc>
          <w:tcPr>
            <w:tcW w:w="593" w:type="pct"/>
            <w:tcBorders>
              <w:top w:val="nil"/>
              <w:left w:val="nil"/>
              <w:bottom w:val="single" w:color="auto" w:sz="4" w:space="0"/>
              <w:right w:val="single" w:color="auto" w:sz="4" w:space="0"/>
            </w:tcBorders>
            <w:shd w:val="clear" w:color="auto" w:fill="auto"/>
            <w:vAlign w:val="center"/>
          </w:tcPr>
          <w:p w14:paraId="03279FC6">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w:t>
            </w:r>
          </w:p>
        </w:tc>
      </w:tr>
      <w:tr w14:paraId="7B052516">
        <w:tblPrEx>
          <w:tblCellMar>
            <w:top w:w="0" w:type="dxa"/>
            <w:left w:w="108" w:type="dxa"/>
            <w:bottom w:w="0" w:type="dxa"/>
            <w:right w:w="108" w:type="dxa"/>
          </w:tblCellMar>
        </w:tblPrEx>
        <w:trPr>
          <w:trHeight w:val="340" w:hRule="atLeast"/>
          <w:jc w:val="center"/>
        </w:trPr>
        <w:tc>
          <w:tcPr>
            <w:tcW w:w="587" w:type="pct"/>
            <w:vMerge w:val="continue"/>
            <w:tcBorders>
              <w:top w:val="nil"/>
              <w:left w:val="single" w:color="auto" w:sz="4" w:space="0"/>
              <w:bottom w:val="single" w:color="auto" w:sz="4" w:space="0"/>
              <w:right w:val="single" w:color="auto" w:sz="4" w:space="0"/>
            </w:tcBorders>
            <w:shd w:val="clear" w:color="auto" w:fill="auto"/>
            <w:vAlign w:val="center"/>
          </w:tcPr>
          <w:p w14:paraId="679FECCD">
            <w:pPr>
              <w:widowControl/>
              <w:jc w:val="left"/>
              <w:rPr>
                <w:rFonts w:hint="eastAsia" w:asciiTheme="minorEastAsia" w:hAnsiTheme="minorEastAsia" w:eastAsiaTheme="minorEastAsia" w:cstheme="minorEastAsia"/>
                <w:kern w:val="0"/>
                <w:sz w:val="21"/>
                <w:szCs w:val="21"/>
              </w:rPr>
            </w:pPr>
          </w:p>
        </w:tc>
        <w:tc>
          <w:tcPr>
            <w:tcW w:w="3818" w:type="pct"/>
            <w:tcBorders>
              <w:top w:val="nil"/>
              <w:left w:val="nil"/>
              <w:bottom w:val="single" w:color="auto" w:sz="4" w:space="0"/>
              <w:right w:val="single" w:color="auto" w:sz="4" w:space="0"/>
            </w:tcBorders>
            <w:shd w:val="clear" w:color="auto" w:fill="auto"/>
            <w:vAlign w:val="center"/>
          </w:tcPr>
          <w:p w14:paraId="37CA6AC7">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发生故障时带来较多不便或经济损失</w:t>
            </w:r>
          </w:p>
        </w:tc>
        <w:tc>
          <w:tcPr>
            <w:tcW w:w="593" w:type="pct"/>
            <w:tcBorders>
              <w:top w:val="nil"/>
              <w:left w:val="nil"/>
              <w:bottom w:val="single" w:color="auto" w:sz="4" w:space="0"/>
              <w:right w:val="single" w:color="auto" w:sz="4" w:space="0"/>
            </w:tcBorders>
            <w:shd w:val="clear" w:color="auto" w:fill="auto"/>
            <w:vAlign w:val="center"/>
          </w:tcPr>
          <w:p w14:paraId="7456BE1F">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0</w:t>
            </w:r>
          </w:p>
        </w:tc>
      </w:tr>
      <w:tr w14:paraId="43C054FE">
        <w:tblPrEx>
          <w:tblCellMar>
            <w:top w:w="0" w:type="dxa"/>
            <w:left w:w="108" w:type="dxa"/>
            <w:bottom w:w="0" w:type="dxa"/>
            <w:right w:w="108" w:type="dxa"/>
          </w:tblCellMar>
        </w:tblPrEx>
        <w:trPr>
          <w:trHeight w:val="340" w:hRule="atLeast"/>
          <w:jc w:val="center"/>
        </w:trPr>
        <w:tc>
          <w:tcPr>
            <w:tcW w:w="587" w:type="pct"/>
            <w:vMerge w:val="continue"/>
            <w:tcBorders>
              <w:top w:val="nil"/>
              <w:left w:val="single" w:color="auto" w:sz="4" w:space="0"/>
              <w:bottom w:val="single" w:color="auto" w:sz="4" w:space="0"/>
              <w:right w:val="single" w:color="auto" w:sz="4" w:space="0"/>
            </w:tcBorders>
            <w:shd w:val="clear" w:color="auto" w:fill="auto"/>
            <w:vAlign w:val="center"/>
          </w:tcPr>
          <w:p w14:paraId="47AE3C66">
            <w:pPr>
              <w:widowControl/>
              <w:jc w:val="left"/>
              <w:rPr>
                <w:rFonts w:hint="eastAsia" w:asciiTheme="minorEastAsia" w:hAnsiTheme="minorEastAsia" w:eastAsiaTheme="minorEastAsia" w:cstheme="minorEastAsia"/>
                <w:kern w:val="0"/>
                <w:sz w:val="21"/>
                <w:szCs w:val="21"/>
              </w:rPr>
            </w:pPr>
          </w:p>
        </w:tc>
        <w:tc>
          <w:tcPr>
            <w:tcW w:w="3818" w:type="pct"/>
            <w:tcBorders>
              <w:top w:val="nil"/>
              <w:left w:val="nil"/>
              <w:bottom w:val="single" w:color="auto" w:sz="4" w:space="0"/>
              <w:right w:val="single" w:color="auto" w:sz="4" w:space="0"/>
            </w:tcBorders>
            <w:shd w:val="clear" w:color="auto" w:fill="auto"/>
            <w:vAlign w:val="center"/>
          </w:tcPr>
          <w:p w14:paraId="5C55432E">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发生故障时造成重大经济损失或有生命危害</w:t>
            </w:r>
          </w:p>
        </w:tc>
        <w:tc>
          <w:tcPr>
            <w:tcW w:w="593" w:type="pct"/>
            <w:tcBorders>
              <w:top w:val="nil"/>
              <w:left w:val="nil"/>
              <w:bottom w:val="single" w:color="auto" w:sz="4" w:space="0"/>
              <w:right w:val="single" w:color="auto" w:sz="4" w:space="0"/>
            </w:tcBorders>
            <w:shd w:val="clear" w:color="auto" w:fill="auto"/>
            <w:vAlign w:val="center"/>
          </w:tcPr>
          <w:p w14:paraId="1E6FBBEE">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w:t>
            </w:r>
          </w:p>
        </w:tc>
      </w:tr>
      <w:tr w14:paraId="4F9B2965">
        <w:tblPrEx>
          <w:tblCellMar>
            <w:top w:w="0" w:type="dxa"/>
            <w:left w:w="108" w:type="dxa"/>
            <w:bottom w:w="0" w:type="dxa"/>
            <w:right w:w="108" w:type="dxa"/>
          </w:tblCellMar>
        </w:tblPrEx>
        <w:trPr>
          <w:trHeight w:val="340" w:hRule="atLeast"/>
          <w:jc w:val="center"/>
        </w:trPr>
        <w:tc>
          <w:tcPr>
            <w:tcW w:w="587" w:type="pct"/>
            <w:vMerge w:val="restart"/>
            <w:tcBorders>
              <w:top w:val="nil"/>
              <w:left w:val="single" w:color="auto" w:sz="4" w:space="0"/>
              <w:bottom w:val="single" w:color="auto" w:sz="4" w:space="0"/>
              <w:right w:val="single" w:color="auto" w:sz="4" w:space="0"/>
            </w:tcBorders>
            <w:shd w:val="clear" w:color="auto" w:fill="auto"/>
            <w:vAlign w:val="center"/>
          </w:tcPr>
          <w:p w14:paraId="443767A5">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多重站点</w:t>
            </w:r>
          </w:p>
        </w:tc>
        <w:tc>
          <w:tcPr>
            <w:tcW w:w="3818" w:type="pct"/>
            <w:tcBorders>
              <w:top w:val="nil"/>
              <w:left w:val="nil"/>
              <w:bottom w:val="single" w:color="auto" w:sz="4" w:space="0"/>
              <w:right w:val="single" w:color="auto" w:sz="4" w:space="0"/>
            </w:tcBorders>
            <w:shd w:val="clear" w:color="auto" w:fill="auto"/>
            <w:vAlign w:val="center"/>
          </w:tcPr>
          <w:p w14:paraId="437E64BC">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在相同用途的硬件或软件环境下运行</w:t>
            </w:r>
          </w:p>
        </w:tc>
        <w:tc>
          <w:tcPr>
            <w:tcW w:w="593" w:type="pct"/>
            <w:tcBorders>
              <w:top w:val="nil"/>
              <w:left w:val="nil"/>
              <w:bottom w:val="single" w:color="auto" w:sz="4" w:space="0"/>
              <w:right w:val="single" w:color="auto" w:sz="4" w:space="0"/>
            </w:tcBorders>
            <w:shd w:val="clear" w:color="auto" w:fill="auto"/>
            <w:vAlign w:val="center"/>
          </w:tcPr>
          <w:p w14:paraId="418C68FD">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w:t>
            </w:r>
          </w:p>
        </w:tc>
      </w:tr>
      <w:tr w14:paraId="3E17C2C2">
        <w:tblPrEx>
          <w:tblCellMar>
            <w:top w:w="0" w:type="dxa"/>
            <w:left w:w="108" w:type="dxa"/>
            <w:bottom w:w="0" w:type="dxa"/>
            <w:right w:w="108" w:type="dxa"/>
          </w:tblCellMar>
        </w:tblPrEx>
        <w:trPr>
          <w:trHeight w:val="340" w:hRule="atLeast"/>
          <w:jc w:val="center"/>
        </w:trPr>
        <w:tc>
          <w:tcPr>
            <w:tcW w:w="587" w:type="pct"/>
            <w:vMerge w:val="continue"/>
            <w:tcBorders>
              <w:top w:val="nil"/>
              <w:left w:val="single" w:color="auto" w:sz="4" w:space="0"/>
              <w:bottom w:val="single" w:color="auto" w:sz="4" w:space="0"/>
              <w:right w:val="single" w:color="auto" w:sz="4" w:space="0"/>
            </w:tcBorders>
            <w:shd w:val="clear" w:color="auto" w:fill="auto"/>
            <w:vAlign w:val="center"/>
          </w:tcPr>
          <w:p w14:paraId="7FA58173">
            <w:pPr>
              <w:widowControl/>
              <w:jc w:val="left"/>
              <w:rPr>
                <w:rFonts w:hint="eastAsia" w:asciiTheme="minorEastAsia" w:hAnsiTheme="minorEastAsia" w:eastAsiaTheme="minorEastAsia" w:cstheme="minorEastAsia"/>
                <w:kern w:val="0"/>
                <w:sz w:val="21"/>
                <w:szCs w:val="21"/>
              </w:rPr>
            </w:pPr>
          </w:p>
        </w:tc>
        <w:tc>
          <w:tcPr>
            <w:tcW w:w="3818" w:type="pct"/>
            <w:tcBorders>
              <w:top w:val="nil"/>
              <w:left w:val="nil"/>
              <w:bottom w:val="single" w:color="auto" w:sz="4" w:space="0"/>
              <w:right w:val="single" w:color="auto" w:sz="4" w:space="0"/>
            </w:tcBorders>
            <w:shd w:val="clear" w:color="auto" w:fill="auto"/>
            <w:vAlign w:val="center"/>
          </w:tcPr>
          <w:p w14:paraId="0ECAB098">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在用途类似的硬件或软件环境下运行</w:t>
            </w:r>
          </w:p>
        </w:tc>
        <w:tc>
          <w:tcPr>
            <w:tcW w:w="593" w:type="pct"/>
            <w:tcBorders>
              <w:top w:val="nil"/>
              <w:left w:val="nil"/>
              <w:bottom w:val="single" w:color="auto" w:sz="4" w:space="0"/>
              <w:right w:val="single" w:color="auto" w:sz="4" w:space="0"/>
            </w:tcBorders>
            <w:shd w:val="clear" w:color="auto" w:fill="auto"/>
            <w:vAlign w:val="center"/>
          </w:tcPr>
          <w:p w14:paraId="51CF08A4">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0</w:t>
            </w:r>
          </w:p>
        </w:tc>
      </w:tr>
      <w:tr w14:paraId="0B3EB832">
        <w:tblPrEx>
          <w:tblCellMar>
            <w:top w:w="0" w:type="dxa"/>
            <w:left w:w="108" w:type="dxa"/>
            <w:bottom w:w="0" w:type="dxa"/>
            <w:right w:w="108" w:type="dxa"/>
          </w:tblCellMar>
        </w:tblPrEx>
        <w:trPr>
          <w:trHeight w:val="340" w:hRule="atLeast"/>
          <w:jc w:val="center"/>
        </w:trPr>
        <w:tc>
          <w:tcPr>
            <w:tcW w:w="587" w:type="pct"/>
            <w:vMerge w:val="continue"/>
            <w:tcBorders>
              <w:top w:val="nil"/>
              <w:left w:val="single" w:color="auto" w:sz="4" w:space="0"/>
              <w:bottom w:val="single" w:color="auto" w:sz="4" w:space="0"/>
              <w:right w:val="single" w:color="auto" w:sz="4" w:space="0"/>
            </w:tcBorders>
            <w:shd w:val="clear" w:color="auto" w:fill="auto"/>
            <w:vAlign w:val="center"/>
          </w:tcPr>
          <w:p w14:paraId="4E6164C7">
            <w:pPr>
              <w:widowControl/>
              <w:jc w:val="left"/>
              <w:rPr>
                <w:rFonts w:hint="eastAsia" w:asciiTheme="minorEastAsia" w:hAnsiTheme="minorEastAsia" w:eastAsiaTheme="minorEastAsia" w:cstheme="minorEastAsia"/>
                <w:kern w:val="0"/>
                <w:sz w:val="21"/>
                <w:szCs w:val="21"/>
              </w:rPr>
            </w:pPr>
          </w:p>
        </w:tc>
        <w:tc>
          <w:tcPr>
            <w:tcW w:w="3818" w:type="pct"/>
            <w:tcBorders>
              <w:top w:val="nil"/>
              <w:left w:val="nil"/>
              <w:bottom w:val="single" w:color="auto" w:sz="4" w:space="0"/>
              <w:right w:val="single" w:color="auto" w:sz="4" w:space="0"/>
            </w:tcBorders>
            <w:shd w:val="clear" w:color="auto" w:fill="auto"/>
            <w:vAlign w:val="center"/>
          </w:tcPr>
          <w:p w14:paraId="38591B73">
            <w:pPr>
              <w:widowControl/>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在不同用途的硬件或软件环境下运行</w:t>
            </w:r>
          </w:p>
        </w:tc>
        <w:tc>
          <w:tcPr>
            <w:tcW w:w="593" w:type="pct"/>
            <w:tcBorders>
              <w:top w:val="nil"/>
              <w:left w:val="nil"/>
              <w:bottom w:val="single" w:color="auto" w:sz="4" w:space="0"/>
              <w:right w:val="single" w:color="auto" w:sz="4" w:space="0"/>
            </w:tcBorders>
            <w:shd w:val="clear" w:color="auto" w:fill="auto"/>
            <w:vAlign w:val="center"/>
          </w:tcPr>
          <w:p w14:paraId="775B17ED">
            <w:pPr>
              <w:widowControl/>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w:t>
            </w:r>
          </w:p>
        </w:tc>
      </w:tr>
    </w:tbl>
    <w:p w14:paraId="5A70F121">
      <w:pPr>
        <w:pStyle w:val="142"/>
        <w:ind w:firstLine="360"/>
        <w:rPr>
          <w:rFonts w:ascii="Times New Roman"/>
        </w:rPr>
      </w:pPr>
      <w:r>
        <w:rPr>
          <w:rFonts w:hint="eastAsia" w:ascii="黑体" w:hAnsi="黑体" w:eastAsia="黑体" w:cs="黑体"/>
          <w:sz w:val="18"/>
          <w:szCs w:val="18"/>
        </w:rPr>
        <w:t>注：</w:t>
      </w:r>
      <w:r>
        <w:rPr>
          <w:rFonts w:hint="eastAsia" w:hAnsi="宋体" w:cs="宋体"/>
          <w:sz w:val="18"/>
          <w:szCs w:val="18"/>
        </w:rPr>
        <w:t>如项目中没有对该部分做描述或系统未对该部分做要求时请在对应的描述中写“无”。</w:t>
      </w:r>
    </w:p>
    <w:p w14:paraId="61E72CDB">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A.5.4 开发语言</w:t>
      </w:r>
    </w:p>
    <w:p w14:paraId="6DA971D7">
      <w:pPr>
        <w:pStyle w:val="142"/>
        <w:keepNext w:val="0"/>
        <w:keepLines w:val="0"/>
        <w:pageBreakBefore w:val="0"/>
        <w:widowControl/>
        <w:kinsoku/>
        <w:wordWrap/>
        <w:overflowPunct/>
        <w:topLinePunct w:val="0"/>
        <w:autoSpaceDE w:val="0"/>
        <w:autoSpaceDN w:val="0"/>
        <w:bidi w:val="0"/>
        <w:adjustRightInd/>
        <w:snapToGrid/>
        <w:ind w:firstLine="420"/>
        <w:textAlignment w:val="auto"/>
        <w:rPr>
          <w:rFonts w:ascii="Times New Roman"/>
        </w:rPr>
      </w:pPr>
      <w:r>
        <w:rPr>
          <w:rFonts w:ascii="Times New Roman"/>
        </w:rPr>
        <w:t>请在Word文档中说明本项目对应的开发语言。</w:t>
      </w:r>
    </w:p>
    <w:p w14:paraId="5BE5B5D4">
      <w:pPr>
        <w:pStyle w:val="142"/>
        <w:keepNext w:val="0"/>
        <w:keepLines w:val="0"/>
        <w:pageBreakBefore w:val="0"/>
        <w:widowControl/>
        <w:kinsoku/>
        <w:wordWrap/>
        <w:overflowPunct/>
        <w:topLinePunct w:val="0"/>
        <w:autoSpaceDE w:val="0"/>
        <w:autoSpaceDN w:val="0"/>
        <w:bidi w:val="0"/>
        <w:adjustRightInd/>
        <w:snapToGrid/>
        <w:spacing w:before="156" w:beforeLines="50" w:after="156" w:afterLines="50"/>
        <w:ind w:firstLine="0" w:firstLineChars="0"/>
        <w:jc w:val="center"/>
        <w:textAlignment w:val="auto"/>
        <w:rPr>
          <w:rFonts w:ascii="Times New Roman"/>
        </w:rPr>
      </w:pPr>
      <w:r>
        <w:rPr>
          <w:rFonts w:hint="eastAsia" w:ascii="黑体" w:hAnsi="黑体" w:eastAsia="黑体" w:cs="黑体"/>
        </w:rPr>
        <w:t>表A.4  开发语言</w:t>
      </w:r>
    </w:p>
    <w:tbl>
      <w:tblPr>
        <w:tblStyle w:val="33"/>
        <w:tblW w:w="4996" w:type="pct"/>
        <w:jc w:val="center"/>
        <w:tblLayout w:type="autofit"/>
        <w:tblCellMar>
          <w:top w:w="0" w:type="dxa"/>
          <w:left w:w="108" w:type="dxa"/>
          <w:bottom w:w="0" w:type="dxa"/>
          <w:right w:w="108" w:type="dxa"/>
        </w:tblCellMar>
      </w:tblPr>
      <w:tblGrid>
        <w:gridCol w:w="8485"/>
        <w:gridCol w:w="1077"/>
      </w:tblGrid>
      <w:tr w14:paraId="41CC7B7B">
        <w:tblPrEx>
          <w:tblCellMar>
            <w:top w:w="0" w:type="dxa"/>
            <w:left w:w="108" w:type="dxa"/>
            <w:bottom w:w="0" w:type="dxa"/>
            <w:right w:w="108" w:type="dxa"/>
          </w:tblCellMar>
        </w:tblPrEx>
        <w:trPr>
          <w:trHeight w:val="340" w:hRule="atLeast"/>
          <w:jc w:val="center"/>
        </w:trPr>
        <w:tc>
          <w:tcPr>
            <w:tcW w:w="4436" w:type="pct"/>
            <w:tcBorders>
              <w:top w:val="single" w:color="auto" w:sz="4" w:space="0"/>
              <w:left w:val="single" w:color="auto" w:sz="4" w:space="0"/>
              <w:bottom w:val="single" w:color="auto" w:sz="4" w:space="0"/>
              <w:right w:val="single" w:color="auto" w:sz="4" w:space="0"/>
            </w:tcBorders>
            <w:shd w:val="clear" w:color="auto" w:fill="auto"/>
            <w:vAlign w:val="center"/>
          </w:tcPr>
          <w:p w14:paraId="0E05A4A5">
            <w:pPr>
              <w:widowControl/>
              <w:jc w:val="center"/>
              <w:rPr>
                <w:rFonts w:ascii="宋体" w:hAnsi="宋体" w:cs="宋体"/>
                <w:kern w:val="0"/>
                <w:sz w:val="21"/>
                <w:szCs w:val="21"/>
              </w:rPr>
            </w:pPr>
            <w:r>
              <w:rPr>
                <w:rFonts w:hint="eastAsia" w:ascii="宋体" w:hAnsi="宋体" w:cs="宋体"/>
                <w:kern w:val="0"/>
                <w:sz w:val="21"/>
                <w:szCs w:val="21"/>
              </w:rPr>
              <w:t>开发语言</w:t>
            </w:r>
          </w:p>
        </w:tc>
        <w:tc>
          <w:tcPr>
            <w:tcW w:w="563" w:type="pct"/>
            <w:tcBorders>
              <w:top w:val="single" w:color="auto" w:sz="4" w:space="0"/>
              <w:left w:val="nil"/>
              <w:bottom w:val="single" w:color="auto" w:sz="4" w:space="0"/>
              <w:right w:val="single" w:color="auto" w:sz="4" w:space="0"/>
            </w:tcBorders>
            <w:shd w:val="clear" w:color="auto" w:fill="auto"/>
            <w:vAlign w:val="center"/>
          </w:tcPr>
          <w:p w14:paraId="3648B248">
            <w:pPr>
              <w:widowControl/>
              <w:jc w:val="center"/>
              <w:rPr>
                <w:rFonts w:ascii="宋体" w:hAnsi="宋体" w:cs="宋体"/>
                <w:kern w:val="0"/>
                <w:sz w:val="21"/>
                <w:szCs w:val="21"/>
              </w:rPr>
            </w:pPr>
            <w:r>
              <w:rPr>
                <w:rFonts w:hint="eastAsia" w:ascii="宋体" w:hAnsi="宋体" w:cs="宋体"/>
                <w:kern w:val="0"/>
                <w:sz w:val="21"/>
                <w:szCs w:val="21"/>
              </w:rPr>
              <w:t>调整因子</w:t>
            </w:r>
          </w:p>
        </w:tc>
      </w:tr>
      <w:tr w14:paraId="7B6E1B0B">
        <w:tblPrEx>
          <w:tblCellMar>
            <w:top w:w="0" w:type="dxa"/>
            <w:left w:w="108" w:type="dxa"/>
            <w:bottom w:w="0" w:type="dxa"/>
            <w:right w:w="108" w:type="dxa"/>
          </w:tblCellMar>
        </w:tblPrEx>
        <w:trPr>
          <w:trHeight w:val="340" w:hRule="atLeast"/>
          <w:jc w:val="center"/>
        </w:trPr>
        <w:tc>
          <w:tcPr>
            <w:tcW w:w="4436" w:type="pct"/>
            <w:tcBorders>
              <w:top w:val="single" w:color="auto" w:sz="4" w:space="0"/>
              <w:left w:val="single" w:color="auto" w:sz="4" w:space="0"/>
              <w:bottom w:val="single" w:color="auto" w:sz="4" w:space="0"/>
              <w:right w:val="single" w:color="auto" w:sz="4" w:space="0"/>
            </w:tcBorders>
            <w:shd w:val="clear" w:color="auto" w:fill="auto"/>
            <w:vAlign w:val="center"/>
          </w:tcPr>
          <w:p w14:paraId="5466255C">
            <w:pPr>
              <w:widowControl/>
              <w:jc w:val="center"/>
              <w:rPr>
                <w:rFonts w:ascii="宋体" w:hAnsi="宋体" w:cs="宋体"/>
                <w:kern w:val="0"/>
                <w:sz w:val="21"/>
                <w:szCs w:val="21"/>
              </w:rPr>
            </w:pPr>
            <w:r>
              <w:rPr>
                <w:rFonts w:hint="eastAsia" w:ascii="宋体" w:hAnsi="宋体" w:cs="宋体"/>
                <w:kern w:val="0"/>
                <w:sz w:val="21"/>
                <w:szCs w:val="21"/>
              </w:rPr>
              <w:t>C及其他同级别语言/平台</w:t>
            </w:r>
          </w:p>
        </w:tc>
        <w:tc>
          <w:tcPr>
            <w:tcW w:w="563" w:type="pct"/>
            <w:tcBorders>
              <w:top w:val="nil"/>
              <w:left w:val="nil"/>
              <w:bottom w:val="single" w:color="auto" w:sz="4" w:space="0"/>
              <w:right w:val="single" w:color="auto" w:sz="4" w:space="0"/>
            </w:tcBorders>
            <w:shd w:val="clear" w:color="auto" w:fill="auto"/>
            <w:vAlign w:val="center"/>
          </w:tcPr>
          <w:p w14:paraId="0497F129">
            <w:pPr>
              <w:widowControl/>
              <w:jc w:val="center"/>
              <w:rPr>
                <w:rFonts w:ascii="宋体" w:hAnsi="宋体" w:cs="宋体"/>
                <w:kern w:val="0"/>
                <w:sz w:val="21"/>
                <w:szCs w:val="21"/>
              </w:rPr>
            </w:pPr>
            <w:r>
              <w:rPr>
                <w:rFonts w:hint="eastAsia" w:ascii="宋体" w:hAnsi="宋体" w:cs="宋体"/>
                <w:kern w:val="0"/>
                <w:sz w:val="21"/>
                <w:szCs w:val="21"/>
              </w:rPr>
              <w:t xml:space="preserve">1.2 </w:t>
            </w:r>
          </w:p>
        </w:tc>
      </w:tr>
      <w:tr w14:paraId="2CA81E35">
        <w:tblPrEx>
          <w:tblCellMar>
            <w:top w:w="0" w:type="dxa"/>
            <w:left w:w="108" w:type="dxa"/>
            <w:bottom w:w="0" w:type="dxa"/>
            <w:right w:w="108" w:type="dxa"/>
          </w:tblCellMar>
        </w:tblPrEx>
        <w:trPr>
          <w:trHeight w:val="340" w:hRule="atLeast"/>
          <w:jc w:val="center"/>
        </w:trPr>
        <w:tc>
          <w:tcPr>
            <w:tcW w:w="4436" w:type="pct"/>
            <w:tcBorders>
              <w:top w:val="nil"/>
              <w:left w:val="single" w:color="auto" w:sz="4" w:space="0"/>
              <w:bottom w:val="single" w:color="auto" w:sz="4" w:space="0"/>
              <w:right w:val="single" w:color="auto" w:sz="4" w:space="0"/>
            </w:tcBorders>
            <w:shd w:val="clear" w:color="auto" w:fill="auto"/>
            <w:vAlign w:val="center"/>
          </w:tcPr>
          <w:p w14:paraId="55A40E4A">
            <w:pPr>
              <w:widowControl/>
              <w:jc w:val="center"/>
              <w:rPr>
                <w:rFonts w:ascii="宋体" w:hAnsi="宋体" w:cs="宋体"/>
                <w:kern w:val="0"/>
                <w:sz w:val="21"/>
                <w:szCs w:val="21"/>
              </w:rPr>
            </w:pPr>
            <w:r>
              <w:rPr>
                <w:rFonts w:hint="eastAsia" w:ascii="宋体" w:hAnsi="宋体" w:cs="宋体"/>
                <w:kern w:val="0"/>
                <w:sz w:val="21"/>
                <w:szCs w:val="21"/>
              </w:rPr>
              <w:t>JAVA、C++、C#及其他同级别语言/平台</w:t>
            </w:r>
          </w:p>
        </w:tc>
        <w:tc>
          <w:tcPr>
            <w:tcW w:w="563" w:type="pct"/>
            <w:tcBorders>
              <w:top w:val="nil"/>
              <w:left w:val="nil"/>
              <w:bottom w:val="single" w:color="auto" w:sz="4" w:space="0"/>
              <w:right w:val="single" w:color="auto" w:sz="4" w:space="0"/>
            </w:tcBorders>
            <w:shd w:val="clear" w:color="auto" w:fill="auto"/>
            <w:vAlign w:val="center"/>
          </w:tcPr>
          <w:p w14:paraId="0ED4A273">
            <w:pPr>
              <w:widowControl/>
              <w:jc w:val="center"/>
              <w:rPr>
                <w:rFonts w:ascii="宋体" w:hAnsi="宋体" w:cs="宋体"/>
                <w:kern w:val="0"/>
                <w:sz w:val="21"/>
                <w:szCs w:val="21"/>
              </w:rPr>
            </w:pPr>
            <w:r>
              <w:rPr>
                <w:rFonts w:hint="eastAsia" w:ascii="宋体" w:hAnsi="宋体" w:cs="宋体"/>
                <w:kern w:val="0"/>
                <w:sz w:val="21"/>
                <w:szCs w:val="21"/>
              </w:rPr>
              <w:t xml:space="preserve">1.0 </w:t>
            </w:r>
          </w:p>
        </w:tc>
      </w:tr>
      <w:tr w14:paraId="5DF05390">
        <w:tblPrEx>
          <w:tblCellMar>
            <w:top w:w="0" w:type="dxa"/>
            <w:left w:w="108" w:type="dxa"/>
            <w:bottom w:w="0" w:type="dxa"/>
            <w:right w:w="108" w:type="dxa"/>
          </w:tblCellMar>
        </w:tblPrEx>
        <w:trPr>
          <w:trHeight w:val="340" w:hRule="atLeast"/>
          <w:jc w:val="center"/>
        </w:trPr>
        <w:tc>
          <w:tcPr>
            <w:tcW w:w="4436" w:type="pct"/>
            <w:tcBorders>
              <w:top w:val="nil"/>
              <w:left w:val="single" w:color="auto" w:sz="4" w:space="0"/>
              <w:bottom w:val="single" w:color="auto" w:sz="4" w:space="0"/>
              <w:right w:val="single" w:color="auto" w:sz="4" w:space="0"/>
            </w:tcBorders>
            <w:shd w:val="clear" w:color="auto" w:fill="auto"/>
            <w:vAlign w:val="center"/>
          </w:tcPr>
          <w:p w14:paraId="2303DA59">
            <w:pPr>
              <w:widowControl/>
              <w:jc w:val="center"/>
              <w:rPr>
                <w:rFonts w:ascii="宋体" w:hAnsi="宋体" w:cs="宋体"/>
                <w:kern w:val="0"/>
                <w:sz w:val="21"/>
                <w:szCs w:val="21"/>
              </w:rPr>
            </w:pPr>
            <w:r>
              <w:rPr>
                <w:rFonts w:hint="eastAsia" w:ascii="宋体" w:hAnsi="宋体" w:cs="宋体"/>
                <w:kern w:val="0"/>
                <w:sz w:val="21"/>
                <w:szCs w:val="21"/>
              </w:rPr>
              <w:t>PowerBuilder、ASP及其他同级别语言/平台</w:t>
            </w:r>
          </w:p>
        </w:tc>
        <w:tc>
          <w:tcPr>
            <w:tcW w:w="563" w:type="pct"/>
            <w:tcBorders>
              <w:top w:val="nil"/>
              <w:left w:val="nil"/>
              <w:bottom w:val="single" w:color="auto" w:sz="4" w:space="0"/>
              <w:right w:val="single" w:color="auto" w:sz="4" w:space="0"/>
            </w:tcBorders>
            <w:shd w:val="clear" w:color="auto" w:fill="auto"/>
            <w:vAlign w:val="center"/>
          </w:tcPr>
          <w:p w14:paraId="2013B7FF">
            <w:pPr>
              <w:widowControl/>
              <w:jc w:val="center"/>
              <w:rPr>
                <w:rFonts w:ascii="宋体" w:hAnsi="宋体" w:cs="宋体"/>
                <w:kern w:val="0"/>
                <w:sz w:val="21"/>
                <w:szCs w:val="21"/>
              </w:rPr>
            </w:pPr>
            <w:r>
              <w:rPr>
                <w:rFonts w:hint="eastAsia" w:ascii="宋体" w:hAnsi="宋体" w:cs="宋体"/>
                <w:kern w:val="0"/>
                <w:sz w:val="21"/>
                <w:szCs w:val="21"/>
              </w:rPr>
              <w:t>0.8</w:t>
            </w:r>
          </w:p>
        </w:tc>
      </w:tr>
    </w:tbl>
    <w:p w14:paraId="56CC01ED">
      <w:pPr>
        <w:keepNext w:val="0"/>
        <w:keepLines w:val="0"/>
        <w:pageBreakBefore w:val="0"/>
        <w:widowControl w:val="0"/>
        <w:kinsoku/>
        <w:wordWrap/>
        <w:overflowPunct/>
        <w:topLinePunct w:val="0"/>
        <w:autoSpaceDE w:val="0"/>
        <w:autoSpaceDN w:val="0"/>
        <w:bidi w:val="0"/>
        <w:adjustRightInd/>
        <w:snapToGrid/>
        <w:spacing w:before="157" w:beforeLines="50" w:after="157" w:afterLines="50" w:line="36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A.5.5 开发团队背景</w:t>
      </w:r>
    </w:p>
    <w:p w14:paraId="29677AC9">
      <w:pPr>
        <w:pStyle w:val="142"/>
        <w:keepNext w:val="0"/>
        <w:keepLines w:val="0"/>
        <w:pageBreakBefore w:val="0"/>
        <w:widowControl/>
        <w:kinsoku/>
        <w:wordWrap/>
        <w:overflowPunct/>
        <w:topLinePunct w:val="0"/>
        <w:autoSpaceDE w:val="0"/>
        <w:autoSpaceDN w:val="0"/>
        <w:bidi w:val="0"/>
        <w:adjustRightInd/>
        <w:snapToGrid/>
        <w:ind w:firstLine="420"/>
        <w:textAlignment w:val="auto"/>
        <w:rPr>
          <w:rFonts w:ascii="Times New Roman"/>
        </w:rPr>
      </w:pPr>
      <w:r>
        <w:rPr>
          <w:rFonts w:ascii="Times New Roman"/>
        </w:rPr>
        <w:t>请在Word文档中说明本项目的开发团队背景。</w:t>
      </w:r>
    </w:p>
    <w:p w14:paraId="02092E3D">
      <w:pPr>
        <w:pStyle w:val="142"/>
        <w:spacing w:before="156" w:beforeLines="50" w:after="156" w:afterLines="50"/>
        <w:ind w:firstLine="0" w:firstLineChars="0"/>
        <w:jc w:val="center"/>
        <w:rPr>
          <w:rFonts w:ascii="黑体" w:hAnsi="黑体" w:eastAsia="黑体" w:cs="黑体"/>
        </w:rPr>
      </w:pPr>
      <w:r>
        <w:rPr>
          <w:rFonts w:hint="eastAsia" w:ascii="黑体" w:hAnsi="黑体" w:eastAsia="黑体" w:cs="黑体"/>
        </w:rPr>
        <w:t>表A.5  开发团队背景</w:t>
      </w:r>
    </w:p>
    <w:tbl>
      <w:tblPr>
        <w:tblStyle w:val="33"/>
        <w:tblW w:w="4996" w:type="pct"/>
        <w:jc w:val="center"/>
        <w:tblLayout w:type="autofit"/>
        <w:tblCellMar>
          <w:top w:w="0" w:type="dxa"/>
          <w:left w:w="108" w:type="dxa"/>
          <w:bottom w:w="0" w:type="dxa"/>
          <w:right w:w="108" w:type="dxa"/>
        </w:tblCellMar>
      </w:tblPr>
      <w:tblGrid>
        <w:gridCol w:w="8502"/>
        <w:gridCol w:w="1060"/>
      </w:tblGrid>
      <w:tr w14:paraId="60DE6230">
        <w:tblPrEx>
          <w:tblCellMar>
            <w:top w:w="0" w:type="dxa"/>
            <w:left w:w="108" w:type="dxa"/>
            <w:bottom w:w="0" w:type="dxa"/>
            <w:right w:w="108" w:type="dxa"/>
          </w:tblCellMar>
        </w:tblPrEx>
        <w:trPr>
          <w:trHeight w:val="340" w:hRule="atLeast"/>
          <w:jc w:val="center"/>
        </w:trPr>
        <w:tc>
          <w:tcPr>
            <w:tcW w:w="4445" w:type="pct"/>
            <w:tcBorders>
              <w:top w:val="single" w:color="auto" w:sz="4" w:space="0"/>
              <w:left w:val="single" w:color="auto" w:sz="4" w:space="0"/>
              <w:bottom w:val="single" w:color="auto" w:sz="4" w:space="0"/>
              <w:right w:val="single" w:color="auto" w:sz="4" w:space="0"/>
            </w:tcBorders>
            <w:shd w:val="clear" w:color="auto" w:fill="auto"/>
            <w:vAlign w:val="center"/>
          </w:tcPr>
          <w:p w14:paraId="37FC85FF">
            <w:pPr>
              <w:widowControl/>
              <w:jc w:val="center"/>
              <w:rPr>
                <w:rFonts w:ascii="宋体" w:hAnsi="宋体" w:cs="宋体"/>
                <w:kern w:val="0"/>
                <w:sz w:val="21"/>
                <w:szCs w:val="21"/>
              </w:rPr>
            </w:pPr>
            <w:r>
              <w:rPr>
                <w:rFonts w:hint="eastAsia" w:ascii="宋体" w:hAnsi="宋体" w:cs="宋体"/>
                <w:kern w:val="0"/>
                <w:sz w:val="21"/>
                <w:szCs w:val="21"/>
              </w:rPr>
              <w:t>开发团队背景</w:t>
            </w:r>
          </w:p>
        </w:tc>
        <w:tc>
          <w:tcPr>
            <w:tcW w:w="554" w:type="pct"/>
            <w:tcBorders>
              <w:top w:val="single" w:color="auto" w:sz="4" w:space="0"/>
              <w:left w:val="nil"/>
              <w:bottom w:val="single" w:color="auto" w:sz="4" w:space="0"/>
              <w:right w:val="single" w:color="auto" w:sz="4" w:space="0"/>
            </w:tcBorders>
            <w:shd w:val="clear" w:color="auto" w:fill="auto"/>
            <w:vAlign w:val="center"/>
          </w:tcPr>
          <w:p w14:paraId="6E345C52">
            <w:pPr>
              <w:widowControl/>
              <w:jc w:val="center"/>
              <w:rPr>
                <w:rFonts w:ascii="宋体" w:hAnsi="宋体" w:cs="宋体"/>
                <w:kern w:val="0"/>
                <w:sz w:val="21"/>
                <w:szCs w:val="21"/>
              </w:rPr>
            </w:pPr>
            <w:r>
              <w:rPr>
                <w:rFonts w:hint="eastAsia" w:ascii="宋体" w:hAnsi="宋体" w:cs="宋体"/>
                <w:kern w:val="0"/>
                <w:sz w:val="21"/>
                <w:szCs w:val="21"/>
              </w:rPr>
              <w:t>调整因子</w:t>
            </w:r>
          </w:p>
        </w:tc>
      </w:tr>
      <w:tr w14:paraId="7FBEAC98">
        <w:tblPrEx>
          <w:tblCellMar>
            <w:top w:w="0" w:type="dxa"/>
            <w:left w:w="108" w:type="dxa"/>
            <w:bottom w:w="0" w:type="dxa"/>
            <w:right w:w="108" w:type="dxa"/>
          </w:tblCellMar>
        </w:tblPrEx>
        <w:trPr>
          <w:trHeight w:val="340" w:hRule="atLeast"/>
          <w:jc w:val="center"/>
        </w:trPr>
        <w:tc>
          <w:tcPr>
            <w:tcW w:w="4445" w:type="pct"/>
            <w:tcBorders>
              <w:top w:val="nil"/>
              <w:left w:val="single" w:color="auto" w:sz="4" w:space="0"/>
              <w:bottom w:val="single" w:color="auto" w:sz="4" w:space="0"/>
              <w:right w:val="single" w:color="auto" w:sz="4" w:space="0"/>
            </w:tcBorders>
            <w:shd w:val="clear" w:color="auto" w:fill="auto"/>
            <w:vAlign w:val="center"/>
          </w:tcPr>
          <w:p w14:paraId="2CF57D69">
            <w:pPr>
              <w:widowControl/>
              <w:jc w:val="left"/>
              <w:rPr>
                <w:rFonts w:ascii="宋体" w:hAnsi="宋体" w:cs="宋体"/>
                <w:kern w:val="0"/>
                <w:sz w:val="21"/>
                <w:szCs w:val="21"/>
              </w:rPr>
            </w:pPr>
            <w:r>
              <w:rPr>
                <w:rFonts w:hint="eastAsia" w:ascii="宋体" w:hAnsi="宋体" w:cs="宋体"/>
                <w:kern w:val="0"/>
                <w:sz w:val="21"/>
                <w:szCs w:val="21"/>
              </w:rPr>
              <w:t>为本行业（政府）开发过类似的软件</w:t>
            </w:r>
          </w:p>
        </w:tc>
        <w:tc>
          <w:tcPr>
            <w:tcW w:w="554" w:type="pct"/>
            <w:tcBorders>
              <w:top w:val="nil"/>
              <w:left w:val="nil"/>
              <w:bottom w:val="single" w:color="auto" w:sz="4" w:space="0"/>
              <w:right w:val="single" w:color="auto" w:sz="4" w:space="0"/>
            </w:tcBorders>
            <w:shd w:val="clear" w:color="auto" w:fill="auto"/>
            <w:vAlign w:val="center"/>
          </w:tcPr>
          <w:p w14:paraId="0F7B2576">
            <w:pPr>
              <w:widowControl/>
              <w:jc w:val="center"/>
              <w:rPr>
                <w:rFonts w:ascii="宋体" w:hAnsi="宋体" w:cs="宋体"/>
                <w:kern w:val="0"/>
                <w:sz w:val="21"/>
                <w:szCs w:val="21"/>
              </w:rPr>
            </w:pPr>
            <w:r>
              <w:rPr>
                <w:rFonts w:hint="eastAsia" w:ascii="宋体" w:hAnsi="宋体" w:cs="宋体"/>
                <w:kern w:val="0"/>
                <w:sz w:val="21"/>
                <w:szCs w:val="21"/>
              </w:rPr>
              <w:t xml:space="preserve">0.8 </w:t>
            </w:r>
          </w:p>
        </w:tc>
      </w:tr>
      <w:tr w14:paraId="1FDD5420">
        <w:tblPrEx>
          <w:tblCellMar>
            <w:top w:w="0" w:type="dxa"/>
            <w:left w:w="108" w:type="dxa"/>
            <w:bottom w:w="0" w:type="dxa"/>
            <w:right w:w="108" w:type="dxa"/>
          </w:tblCellMar>
        </w:tblPrEx>
        <w:trPr>
          <w:trHeight w:val="340" w:hRule="atLeast"/>
          <w:jc w:val="center"/>
        </w:trPr>
        <w:tc>
          <w:tcPr>
            <w:tcW w:w="4445" w:type="pct"/>
            <w:tcBorders>
              <w:top w:val="nil"/>
              <w:left w:val="single" w:color="auto" w:sz="4" w:space="0"/>
              <w:bottom w:val="single" w:color="auto" w:sz="4" w:space="0"/>
              <w:right w:val="single" w:color="auto" w:sz="4" w:space="0"/>
            </w:tcBorders>
            <w:shd w:val="clear" w:color="auto" w:fill="auto"/>
            <w:vAlign w:val="center"/>
          </w:tcPr>
          <w:p w14:paraId="2BC0D490">
            <w:pPr>
              <w:widowControl/>
              <w:jc w:val="left"/>
              <w:rPr>
                <w:rFonts w:ascii="宋体" w:hAnsi="宋体" w:cs="宋体"/>
                <w:kern w:val="0"/>
                <w:sz w:val="21"/>
                <w:szCs w:val="21"/>
              </w:rPr>
            </w:pPr>
            <w:r>
              <w:rPr>
                <w:rFonts w:hint="eastAsia" w:ascii="宋体" w:hAnsi="宋体" w:cs="宋体"/>
                <w:kern w:val="0"/>
                <w:sz w:val="21"/>
                <w:szCs w:val="21"/>
              </w:rPr>
              <w:t>为其他行业开发过类似的软件，或为本行业（政府）开发过不同但相关的软件</w:t>
            </w:r>
          </w:p>
        </w:tc>
        <w:tc>
          <w:tcPr>
            <w:tcW w:w="554" w:type="pct"/>
            <w:tcBorders>
              <w:top w:val="nil"/>
              <w:left w:val="nil"/>
              <w:bottom w:val="single" w:color="auto" w:sz="4" w:space="0"/>
              <w:right w:val="single" w:color="auto" w:sz="4" w:space="0"/>
            </w:tcBorders>
            <w:shd w:val="clear" w:color="auto" w:fill="auto"/>
            <w:vAlign w:val="center"/>
          </w:tcPr>
          <w:p w14:paraId="3F928D62">
            <w:pPr>
              <w:widowControl/>
              <w:jc w:val="center"/>
              <w:rPr>
                <w:rFonts w:ascii="宋体" w:hAnsi="宋体" w:cs="宋体"/>
                <w:kern w:val="0"/>
                <w:sz w:val="21"/>
                <w:szCs w:val="21"/>
              </w:rPr>
            </w:pPr>
            <w:r>
              <w:rPr>
                <w:rFonts w:hint="eastAsia" w:ascii="宋体" w:hAnsi="宋体" w:cs="宋体"/>
                <w:kern w:val="0"/>
                <w:sz w:val="21"/>
                <w:szCs w:val="21"/>
              </w:rPr>
              <w:t xml:space="preserve">1.0 </w:t>
            </w:r>
          </w:p>
        </w:tc>
      </w:tr>
      <w:tr w14:paraId="4B01C289">
        <w:tblPrEx>
          <w:tblCellMar>
            <w:top w:w="0" w:type="dxa"/>
            <w:left w:w="108" w:type="dxa"/>
            <w:bottom w:w="0" w:type="dxa"/>
            <w:right w:w="108" w:type="dxa"/>
          </w:tblCellMar>
        </w:tblPrEx>
        <w:trPr>
          <w:trHeight w:val="340" w:hRule="atLeast"/>
          <w:jc w:val="center"/>
        </w:trPr>
        <w:tc>
          <w:tcPr>
            <w:tcW w:w="4445" w:type="pct"/>
            <w:tcBorders>
              <w:top w:val="nil"/>
              <w:left w:val="single" w:color="auto" w:sz="4" w:space="0"/>
              <w:bottom w:val="single" w:color="auto" w:sz="4" w:space="0"/>
              <w:right w:val="single" w:color="auto" w:sz="4" w:space="0"/>
            </w:tcBorders>
            <w:shd w:val="clear" w:color="auto" w:fill="auto"/>
            <w:vAlign w:val="center"/>
          </w:tcPr>
          <w:p w14:paraId="77E4F786">
            <w:pPr>
              <w:widowControl/>
              <w:jc w:val="left"/>
              <w:rPr>
                <w:rFonts w:ascii="宋体" w:hAnsi="宋体" w:cs="宋体"/>
                <w:kern w:val="0"/>
                <w:sz w:val="21"/>
                <w:szCs w:val="21"/>
              </w:rPr>
            </w:pPr>
            <w:r>
              <w:rPr>
                <w:rFonts w:hint="eastAsia" w:ascii="宋体" w:hAnsi="宋体" w:cs="宋体"/>
                <w:kern w:val="0"/>
                <w:sz w:val="21"/>
                <w:szCs w:val="21"/>
              </w:rPr>
              <w:t>没有同类软件及本行业（政府）相关软件开发背景</w:t>
            </w:r>
          </w:p>
        </w:tc>
        <w:tc>
          <w:tcPr>
            <w:tcW w:w="554" w:type="pct"/>
            <w:tcBorders>
              <w:top w:val="nil"/>
              <w:left w:val="nil"/>
              <w:bottom w:val="single" w:color="auto" w:sz="4" w:space="0"/>
              <w:right w:val="single" w:color="auto" w:sz="4" w:space="0"/>
            </w:tcBorders>
            <w:shd w:val="clear" w:color="auto" w:fill="auto"/>
            <w:vAlign w:val="center"/>
          </w:tcPr>
          <w:p w14:paraId="00252C9D">
            <w:pPr>
              <w:widowControl/>
              <w:jc w:val="center"/>
              <w:rPr>
                <w:rFonts w:ascii="宋体" w:hAnsi="宋体" w:cs="宋体"/>
                <w:kern w:val="0"/>
                <w:sz w:val="21"/>
                <w:szCs w:val="21"/>
              </w:rPr>
            </w:pPr>
            <w:r>
              <w:rPr>
                <w:rFonts w:hint="eastAsia" w:ascii="宋体" w:hAnsi="宋体" w:cs="宋体"/>
                <w:kern w:val="0"/>
                <w:sz w:val="21"/>
                <w:szCs w:val="21"/>
              </w:rPr>
              <w:t>1.2</w:t>
            </w:r>
          </w:p>
        </w:tc>
      </w:tr>
    </w:tbl>
    <w:p w14:paraId="69B73C0C">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A.5.6</w:t>
      </w:r>
      <w:r>
        <w:rPr>
          <w:rFonts w:hint="eastAsia" w:ascii="黑体" w:hAnsi="黑体" w:eastAsia="黑体" w:cs="黑体"/>
          <w:bCs/>
          <w:kern w:val="44"/>
          <w:szCs w:val="21"/>
          <w:lang w:val="en-US" w:eastAsia="zh-CN"/>
        </w:rPr>
        <w:t xml:space="preserve"> </w:t>
      </w:r>
      <w:r>
        <w:rPr>
          <w:rFonts w:hint="eastAsia" w:ascii="黑体" w:hAnsi="黑体" w:eastAsia="黑体" w:cs="黑体"/>
          <w:bCs/>
          <w:kern w:val="44"/>
          <w:szCs w:val="21"/>
        </w:rPr>
        <w:t>完整性级别调整因子</w:t>
      </w:r>
    </w:p>
    <w:p w14:paraId="05F39C9C">
      <w:pPr>
        <w:pStyle w:val="142"/>
        <w:keepNext w:val="0"/>
        <w:keepLines w:val="0"/>
        <w:pageBreakBefore w:val="0"/>
        <w:widowControl/>
        <w:kinsoku/>
        <w:wordWrap/>
        <w:overflowPunct/>
        <w:topLinePunct w:val="0"/>
        <w:autoSpaceDE w:val="0"/>
        <w:autoSpaceDN w:val="0"/>
        <w:bidi w:val="0"/>
        <w:adjustRightInd/>
        <w:snapToGrid/>
        <w:ind w:firstLine="420"/>
        <w:textAlignment w:val="auto"/>
        <w:rPr>
          <w:rFonts w:ascii="Times New Roman"/>
        </w:rPr>
      </w:pPr>
      <w:r>
        <w:rPr>
          <w:rFonts w:ascii="Times New Roman"/>
        </w:rPr>
        <w:t>请在Word文档中说明本项目的完整性级别。按经验值，一般取D级。如有差异，请提供详细证明材料。</w:t>
      </w:r>
    </w:p>
    <w:p w14:paraId="2ACC2AE9">
      <w:pPr>
        <w:pStyle w:val="142"/>
        <w:keepNext w:val="0"/>
        <w:keepLines w:val="0"/>
        <w:pageBreakBefore w:val="0"/>
        <w:widowControl/>
        <w:kinsoku/>
        <w:wordWrap/>
        <w:overflowPunct/>
        <w:topLinePunct w:val="0"/>
        <w:autoSpaceDE w:val="0"/>
        <w:autoSpaceDN w:val="0"/>
        <w:bidi w:val="0"/>
        <w:adjustRightInd/>
        <w:snapToGrid/>
        <w:ind w:firstLine="0" w:firstLineChars="0"/>
        <w:jc w:val="center"/>
        <w:textAlignment w:val="auto"/>
        <w:rPr>
          <w:rFonts w:ascii="黑体" w:hAnsi="黑体" w:eastAsia="黑体" w:cs="黑体"/>
        </w:rPr>
      </w:pPr>
      <w:r>
        <w:rPr>
          <w:rFonts w:hint="eastAsia" w:ascii="黑体" w:hAnsi="黑体" w:eastAsia="黑体" w:cs="黑体"/>
        </w:rPr>
        <w:t>表A.6  软件完整性级别调整因子</w:t>
      </w:r>
    </w:p>
    <w:tbl>
      <w:tblPr>
        <w:tblStyle w:val="33"/>
        <w:tblpPr w:leftFromText="180" w:rightFromText="180" w:vertAnchor="text" w:horzAnchor="page" w:tblpXSpec="center" w:tblpY="264"/>
        <w:tblOverlap w:val="never"/>
        <w:tblW w:w="5000" w:type="pct"/>
        <w:jc w:val="center"/>
        <w:tblLayout w:type="autofit"/>
        <w:tblCellMar>
          <w:top w:w="0" w:type="dxa"/>
          <w:left w:w="108" w:type="dxa"/>
          <w:bottom w:w="0" w:type="dxa"/>
          <w:right w:w="108" w:type="dxa"/>
        </w:tblCellMar>
      </w:tblPr>
      <w:tblGrid>
        <w:gridCol w:w="1481"/>
        <w:gridCol w:w="4042"/>
        <w:gridCol w:w="4047"/>
      </w:tblGrid>
      <w:tr w14:paraId="14B62B34">
        <w:tblPrEx>
          <w:tblCellMar>
            <w:top w:w="0" w:type="dxa"/>
            <w:left w:w="108" w:type="dxa"/>
            <w:bottom w:w="0" w:type="dxa"/>
            <w:right w:w="108" w:type="dxa"/>
          </w:tblCellMar>
        </w:tblPrEx>
        <w:trPr>
          <w:trHeight w:val="340" w:hRule="atLeast"/>
          <w:jc w:val="center"/>
        </w:trPr>
        <w:tc>
          <w:tcPr>
            <w:tcW w:w="500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7BE4926">
            <w:pPr>
              <w:widowControl/>
              <w:jc w:val="center"/>
              <w:rPr>
                <w:rFonts w:ascii="宋体" w:hAnsi="宋体" w:cs="宋体"/>
                <w:kern w:val="0"/>
                <w:sz w:val="21"/>
                <w:szCs w:val="21"/>
              </w:rPr>
            </w:pPr>
            <w:r>
              <w:rPr>
                <w:rFonts w:hint="eastAsia" w:ascii="宋体" w:hAnsi="宋体" w:cs="宋体"/>
                <w:kern w:val="0"/>
                <w:sz w:val="21"/>
                <w:szCs w:val="21"/>
              </w:rPr>
              <w:t>完整性级别调整因子</w:t>
            </w:r>
          </w:p>
        </w:tc>
      </w:tr>
      <w:tr w14:paraId="71548529">
        <w:tblPrEx>
          <w:tblCellMar>
            <w:top w:w="0" w:type="dxa"/>
            <w:left w:w="108" w:type="dxa"/>
            <w:bottom w:w="0" w:type="dxa"/>
            <w:right w:w="108" w:type="dxa"/>
          </w:tblCellMar>
        </w:tblPrEx>
        <w:trPr>
          <w:trHeight w:val="340" w:hRule="atLeast"/>
          <w:jc w:val="center"/>
        </w:trPr>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9F091">
            <w:pPr>
              <w:widowControl/>
              <w:jc w:val="center"/>
              <w:rPr>
                <w:rFonts w:ascii="宋体" w:hAnsi="宋体" w:cs="宋体"/>
                <w:kern w:val="0"/>
                <w:sz w:val="21"/>
                <w:szCs w:val="21"/>
              </w:rPr>
            </w:pPr>
            <w:r>
              <w:rPr>
                <w:rFonts w:hint="eastAsia" w:ascii="宋体" w:hAnsi="宋体" w:cs="宋体"/>
                <w:kern w:val="0"/>
                <w:sz w:val="21"/>
                <w:szCs w:val="21"/>
              </w:rPr>
              <w:t>A级</w:t>
            </w:r>
          </w:p>
        </w:tc>
        <w:tc>
          <w:tcPr>
            <w:tcW w:w="21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D42826">
            <w:pPr>
              <w:widowControl/>
              <w:jc w:val="center"/>
              <w:rPr>
                <w:rFonts w:ascii="宋体" w:hAnsi="宋体" w:cs="宋体"/>
                <w:kern w:val="0"/>
                <w:sz w:val="21"/>
                <w:szCs w:val="21"/>
              </w:rPr>
            </w:pPr>
            <w:r>
              <w:rPr>
                <w:rFonts w:hint="eastAsia" w:ascii="宋体" w:hAnsi="宋体" w:cs="宋体"/>
                <w:kern w:val="0"/>
                <w:sz w:val="21"/>
                <w:szCs w:val="21"/>
              </w:rPr>
              <w:t>风险等级高</w:t>
            </w:r>
          </w:p>
        </w:tc>
        <w:tc>
          <w:tcPr>
            <w:tcW w:w="21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CF5E5">
            <w:pPr>
              <w:widowControl/>
              <w:jc w:val="center"/>
              <w:rPr>
                <w:rFonts w:ascii="宋体" w:hAnsi="宋体" w:cs="宋体"/>
                <w:kern w:val="0"/>
                <w:sz w:val="21"/>
                <w:szCs w:val="21"/>
              </w:rPr>
            </w:pPr>
            <w:r>
              <w:rPr>
                <w:rFonts w:hint="eastAsia" w:ascii="宋体" w:hAnsi="宋体" w:cs="宋体"/>
                <w:kern w:val="0"/>
                <w:sz w:val="21"/>
                <w:szCs w:val="21"/>
              </w:rPr>
              <w:t xml:space="preserve">1.70 </w:t>
            </w:r>
          </w:p>
        </w:tc>
      </w:tr>
      <w:tr w14:paraId="699283BF">
        <w:tblPrEx>
          <w:tblCellMar>
            <w:top w:w="0" w:type="dxa"/>
            <w:left w:w="108" w:type="dxa"/>
            <w:bottom w:w="0" w:type="dxa"/>
            <w:right w:w="108" w:type="dxa"/>
          </w:tblCellMar>
        </w:tblPrEx>
        <w:trPr>
          <w:trHeight w:val="340" w:hRule="atLeast"/>
          <w:jc w:val="center"/>
        </w:trPr>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820CB0">
            <w:pPr>
              <w:widowControl/>
              <w:jc w:val="center"/>
              <w:rPr>
                <w:rFonts w:ascii="宋体" w:hAnsi="宋体" w:cs="宋体"/>
                <w:kern w:val="0"/>
                <w:sz w:val="21"/>
                <w:szCs w:val="21"/>
              </w:rPr>
            </w:pPr>
            <w:r>
              <w:rPr>
                <w:rFonts w:hint="eastAsia" w:ascii="宋体" w:hAnsi="宋体" w:cs="宋体"/>
                <w:kern w:val="0"/>
                <w:sz w:val="21"/>
                <w:szCs w:val="21"/>
              </w:rPr>
              <w:t>B级</w:t>
            </w:r>
          </w:p>
        </w:tc>
        <w:tc>
          <w:tcPr>
            <w:tcW w:w="21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BD600">
            <w:pPr>
              <w:widowControl/>
              <w:jc w:val="center"/>
              <w:rPr>
                <w:rFonts w:ascii="宋体" w:hAnsi="宋体" w:cs="宋体"/>
                <w:kern w:val="0"/>
                <w:sz w:val="21"/>
                <w:szCs w:val="21"/>
              </w:rPr>
            </w:pPr>
            <w:r>
              <w:rPr>
                <w:rFonts w:hint="eastAsia" w:ascii="宋体" w:hAnsi="宋体" w:cs="宋体"/>
                <w:kern w:val="0"/>
                <w:sz w:val="21"/>
                <w:szCs w:val="21"/>
              </w:rPr>
              <w:t>风险等级中</w:t>
            </w:r>
          </w:p>
        </w:tc>
        <w:tc>
          <w:tcPr>
            <w:tcW w:w="21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3A3CC">
            <w:pPr>
              <w:widowControl/>
              <w:jc w:val="center"/>
              <w:rPr>
                <w:rFonts w:ascii="宋体" w:hAnsi="宋体" w:cs="宋体"/>
                <w:kern w:val="0"/>
                <w:sz w:val="21"/>
                <w:szCs w:val="21"/>
              </w:rPr>
            </w:pPr>
            <w:r>
              <w:rPr>
                <w:rFonts w:hint="eastAsia" w:ascii="宋体" w:hAnsi="宋体" w:cs="宋体"/>
                <w:kern w:val="0"/>
                <w:sz w:val="21"/>
                <w:szCs w:val="21"/>
              </w:rPr>
              <w:t xml:space="preserve">1.40 </w:t>
            </w:r>
          </w:p>
        </w:tc>
      </w:tr>
      <w:tr w14:paraId="77FC1389">
        <w:tblPrEx>
          <w:tblCellMar>
            <w:top w:w="0" w:type="dxa"/>
            <w:left w:w="108" w:type="dxa"/>
            <w:bottom w:w="0" w:type="dxa"/>
            <w:right w:w="108" w:type="dxa"/>
          </w:tblCellMar>
        </w:tblPrEx>
        <w:trPr>
          <w:trHeight w:val="340" w:hRule="atLeast"/>
          <w:jc w:val="center"/>
        </w:trPr>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DACC9">
            <w:pPr>
              <w:widowControl/>
              <w:jc w:val="center"/>
              <w:rPr>
                <w:rFonts w:ascii="宋体" w:hAnsi="宋体" w:cs="宋体"/>
                <w:kern w:val="0"/>
                <w:sz w:val="21"/>
                <w:szCs w:val="21"/>
              </w:rPr>
            </w:pPr>
            <w:r>
              <w:rPr>
                <w:rFonts w:hint="eastAsia" w:ascii="宋体" w:hAnsi="宋体" w:cs="宋体"/>
                <w:kern w:val="0"/>
                <w:sz w:val="21"/>
                <w:szCs w:val="21"/>
              </w:rPr>
              <w:t>C级</w:t>
            </w:r>
          </w:p>
        </w:tc>
        <w:tc>
          <w:tcPr>
            <w:tcW w:w="21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2552A3">
            <w:pPr>
              <w:widowControl/>
              <w:jc w:val="center"/>
              <w:rPr>
                <w:rFonts w:ascii="宋体" w:hAnsi="宋体" w:cs="宋体"/>
                <w:kern w:val="0"/>
                <w:sz w:val="21"/>
                <w:szCs w:val="21"/>
              </w:rPr>
            </w:pPr>
            <w:r>
              <w:rPr>
                <w:rFonts w:hint="eastAsia" w:ascii="宋体" w:hAnsi="宋体" w:cs="宋体"/>
                <w:kern w:val="0"/>
                <w:sz w:val="21"/>
                <w:szCs w:val="21"/>
              </w:rPr>
              <w:t>风险等级低</w:t>
            </w:r>
          </w:p>
        </w:tc>
        <w:tc>
          <w:tcPr>
            <w:tcW w:w="21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9980FC">
            <w:pPr>
              <w:widowControl/>
              <w:jc w:val="center"/>
              <w:rPr>
                <w:rFonts w:ascii="宋体" w:hAnsi="宋体" w:cs="宋体"/>
                <w:kern w:val="0"/>
                <w:sz w:val="21"/>
                <w:szCs w:val="21"/>
              </w:rPr>
            </w:pPr>
            <w:r>
              <w:rPr>
                <w:rFonts w:hint="eastAsia" w:ascii="宋体" w:hAnsi="宋体" w:cs="宋体"/>
                <w:kern w:val="0"/>
                <w:sz w:val="21"/>
                <w:szCs w:val="21"/>
              </w:rPr>
              <w:t xml:space="preserve">1.15 </w:t>
            </w:r>
          </w:p>
        </w:tc>
      </w:tr>
      <w:tr w14:paraId="3AA33942">
        <w:tblPrEx>
          <w:tblCellMar>
            <w:top w:w="0" w:type="dxa"/>
            <w:left w:w="108" w:type="dxa"/>
            <w:bottom w:w="0" w:type="dxa"/>
            <w:right w:w="108" w:type="dxa"/>
          </w:tblCellMar>
        </w:tblPrEx>
        <w:trPr>
          <w:trHeight w:val="340" w:hRule="atLeast"/>
          <w:jc w:val="center"/>
        </w:trPr>
        <w:tc>
          <w:tcPr>
            <w:tcW w:w="7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026497">
            <w:pPr>
              <w:widowControl/>
              <w:jc w:val="center"/>
              <w:rPr>
                <w:rFonts w:ascii="宋体" w:hAnsi="宋体" w:cs="宋体"/>
                <w:kern w:val="0"/>
                <w:sz w:val="21"/>
                <w:szCs w:val="21"/>
              </w:rPr>
            </w:pPr>
            <w:r>
              <w:rPr>
                <w:rFonts w:hint="eastAsia" w:ascii="宋体" w:hAnsi="宋体" w:cs="宋体"/>
                <w:kern w:val="0"/>
                <w:sz w:val="21"/>
                <w:szCs w:val="21"/>
              </w:rPr>
              <w:t>D级</w:t>
            </w:r>
          </w:p>
        </w:tc>
        <w:tc>
          <w:tcPr>
            <w:tcW w:w="21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24DDE">
            <w:pPr>
              <w:widowControl/>
              <w:jc w:val="center"/>
              <w:rPr>
                <w:rFonts w:ascii="宋体" w:hAnsi="宋体" w:cs="宋体"/>
                <w:kern w:val="0"/>
                <w:sz w:val="21"/>
                <w:szCs w:val="21"/>
              </w:rPr>
            </w:pPr>
            <w:r>
              <w:rPr>
                <w:rFonts w:hint="eastAsia" w:ascii="宋体" w:hAnsi="宋体" w:cs="宋体"/>
                <w:kern w:val="0"/>
                <w:sz w:val="21"/>
                <w:szCs w:val="21"/>
              </w:rPr>
              <w:t>风险等级微小</w:t>
            </w:r>
          </w:p>
        </w:tc>
        <w:tc>
          <w:tcPr>
            <w:tcW w:w="21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F79D6B">
            <w:pPr>
              <w:widowControl/>
              <w:jc w:val="center"/>
              <w:rPr>
                <w:rFonts w:ascii="宋体" w:hAnsi="宋体" w:cs="宋体"/>
                <w:kern w:val="0"/>
                <w:sz w:val="21"/>
                <w:szCs w:val="21"/>
              </w:rPr>
            </w:pPr>
            <w:r>
              <w:rPr>
                <w:rFonts w:hint="eastAsia" w:ascii="宋体" w:hAnsi="宋体" w:cs="宋体"/>
                <w:kern w:val="0"/>
                <w:sz w:val="21"/>
                <w:szCs w:val="21"/>
              </w:rPr>
              <w:t xml:space="preserve">1.00 </w:t>
            </w:r>
          </w:p>
        </w:tc>
      </w:tr>
    </w:tbl>
    <w:p w14:paraId="19DAC264">
      <w:pPr>
        <w:pStyle w:val="84"/>
        <w:pageBreakBefore/>
        <w:numPr>
          <w:ilvl w:val="0"/>
          <w:numId w:val="0"/>
        </w:numPr>
        <w:tabs>
          <w:tab w:val="clear" w:pos="360"/>
        </w:tabs>
        <w:spacing w:before="0" w:after="0"/>
        <w:jc w:val="center"/>
      </w:pPr>
      <w:bookmarkStart w:id="84" w:name="_Toc14818"/>
      <w:r>
        <w:rPr>
          <w:rFonts w:hint="eastAsia"/>
        </w:rPr>
        <w:br w:type="textWrapping"/>
      </w:r>
      <w:r>
        <w:rPr>
          <w:rFonts w:hint="eastAsia"/>
        </w:rPr>
        <w:t>附　录　B</w:t>
      </w:r>
      <w:r>
        <w:br w:type="textWrapping"/>
      </w:r>
      <w:bookmarkStart w:id="85" w:name="_Toc168328410"/>
      <w:bookmarkStart w:id="86" w:name="_Toc166672675"/>
      <w:r>
        <w:rPr>
          <w:rFonts w:hint="eastAsia"/>
        </w:rPr>
        <w:t>（资料性）</w:t>
      </w:r>
      <w:r>
        <w:br w:type="textWrapping"/>
      </w:r>
      <w:bookmarkEnd w:id="84"/>
      <w:bookmarkEnd w:id="85"/>
      <w:bookmarkEnd w:id="86"/>
      <w:r>
        <w:rPr>
          <w:rFonts w:hint="eastAsia"/>
        </w:rPr>
        <w:t>功能点规模度量表</w:t>
      </w:r>
    </w:p>
    <w:p w14:paraId="6BD1B957">
      <w:pPr>
        <w:pStyle w:val="142"/>
        <w:keepNext w:val="0"/>
        <w:keepLines w:val="0"/>
        <w:pageBreakBefore w:val="0"/>
        <w:widowControl/>
        <w:kinsoku/>
        <w:wordWrap/>
        <w:overflowPunct/>
        <w:topLinePunct w:val="0"/>
        <w:autoSpaceDE w:val="0"/>
        <w:autoSpaceDN w:val="0"/>
        <w:bidi w:val="0"/>
        <w:adjustRightInd/>
        <w:snapToGrid/>
        <w:ind w:firstLine="420"/>
        <w:textAlignment w:val="auto"/>
        <w:rPr>
          <w:rFonts w:ascii="Times New Roman"/>
        </w:rPr>
      </w:pPr>
      <w:r>
        <w:rPr>
          <w:rFonts w:ascii="Times New Roman"/>
        </w:rPr>
        <w:t>软件功能点规模度量表模板见表B.1：</w:t>
      </w:r>
    </w:p>
    <w:p w14:paraId="3110CE73">
      <w:pPr>
        <w:pStyle w:val="142"/>
        <w:keepNext w:val="0"/>
        <w:keepLines w:val="0"/>
        <w:pageBreakBefore w:val="0"/>
        <w:widowControl/>
        <w:kinsoku/>
        <w:wordWrap/>
        <w:overflowPunct/>
        <w:topLinePunct w:val="0"/>
        <w:autoSpaceDE w:val="0"/>
        <w:autoSpaceDN w:val="0"/>
        <w:bidi w:val="0"/>
        <w:adjustRightInd/>
        <w:snapToGrid/>
        <w:spacing w:before="156" w:beforeLines="50" w:after="156" w:afterLines="50"/>
        <w:ind w:firstLine="0" w:firstLineChars="0"/>
        <w:jc w:val="center"/>
        <w:textAlignment w:val="auto"/>
        <w:rPr>
          <w:rFonts w:ascii="Times New Roman"/>
          <w:szCs w:val="21"/>
        </w:rPr>
      </w:pPr>
      <w:r>
        <w:rPr>
          <w:rFonts w:hint="eastAsia" w:ascii="黑体" w:hAnsi="黑体" w:eastAsia="黑体" w:cs="黑体"/>
          <w:szCs w:val="21"/>
        </w:rPr>
        <w:t>表B.1 软件功能点规模度量表</w:t>
      </w:r>
    </w:p>
    <w:tbl>
      <w:tblPr>
        <w:tblStyle w:val="33"/>
        <w:tblW w:w="9474" w:type="dxa"/>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3"/>
        <w:gridCol w:w="700"/>
        <w:gridCol w:w="640"/>
        <w:gridCol w:w="740"/>
        <w:gridCol w:w="710"/>
        <w:gridCol w:w="600"/>
        <w:gridCol w:w="700"/>
        <w:gridCol w:w="780"/>
        <w:gridCol w:w="790"/>
        <w:gridCol w:w="600"/>
        <w:gridCol w:w="680"/>
        <w:gridCol w:w="600"/>
        <w:gridCol w:w="620"/>
        <w:gridCol w:w="721"/>
      </w:tblGrid>
      <w:tr w14:paraId="7397B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474" w:type="dxa"/>
            <w:gridSpan w:val="14"/>
            <w:shd w:val="clear" w:color="auto" w:fill="auto"/>
            <w:noWrap/>
            <w:vAlign w:val="center"/>
          </w:tcPr>
          <w:p w14:paraId="44863AF8">
            <w:pPr>
              <w:widowControl/>
              <w:snapToGrid w:val="0"/>
              <w:jc w:val="center"/>
              <w:textAlignment w:val="center"/>
              <w:rPr>
                <w:rFonts w:hint="eastAsia" w:asciiTheme="minorEastAsia" w:hAnsiTheme="minorEastAsia" w:eastAsiaTheme="minorEastAsia" w:cstheme="minorEastAsia"/>
                <w:kern w:val="0"/>
                <w:sz w:val="21"/>
                <w:szCs w:val="21"/>
                <w:lang w:bidi="ar"/>
              </w:rPr>
            </w:pPr>
            <w:r>
              <w:rPr>
                <w:rFonts w:hint="eastAsia" w:asciiTheme="minorEastAsia" w:hAnsiTheme="minorEastAsia" w:eastAsiaTheme="minorEastAsia" w:cstheme="minorEastAsia"/>
                <w:kern w:val="0"/>
                <w:sz w:val="21"/>
                <w:szCs w:val="21"/>
                <w:lang w:bidi="ar"/>
              </w:rPr>
              <w:t>通用软件评估模型</w:t>
            </w:r>
          </w:p>
        </w:tc>
      </w:tr>
      <w:tr w14:paraId="5315D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383" w:type="dxa"/>
            <w:gridSpan w:val="5"/>
            <w:shd w:val="clear" w:color="auto" w:fill="auto"/>
            <w:noWrap/>
            <w:vAlign w:val="center"/>
          </w:tcPr>
          <w:p w14:paraId="3BEF11C8">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度量策略阶段</w:t>
            </w:r>
          </w:p>
        </w:tc>
        <w:tc>
          <w:tcPr>
            <w:tcW w:w="4150" w:type="dxa"/>
            <w:gridSpan w:val="6"/>
            <w:shd w:val="clear" w:color="auto" w:fill="auto"/>
            <w:vAlign w:val="center"/>
          </w:tcPr>
          <w:p w14:paraId="7F34E6A5">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映射阶段</w:t>
            </w:r>
          </w:p>
        </w:tc>
        <w:tc>
          <w:tcPr>
            <w:tcW w:w="1941" w:type="dxa"/>
            <w:gridSpan w:val="3"/>
            <w:shd w:val="clear" w:color="auto" w:fill="auto"/>
            <w:noWrap/>
            <w:vAlign w:val="center"/>
          </w:tcPr>
          <w:p w14:paraId="45C4E7BB">
            <w:pPr>
              <w:widowControl/>
              <w:snapToGrid w:val="0"/>
              <w:jc w:val="center"/>
              <w:textAlignment w:val="center"/>
              <w:rPr>
                <w:rFonts w:hint="eastAsia" w:asciiTheme="minorEastAsia" w:hAnsiTheme="minorEastAsia" w:eastAsiaTheme="minorEastAsia" w:cstheme="minorEastAsia"/>
                <w:kern w:val="0"/>
                <w:sz w:val="21"/>
                <w:szCs w:val="21"/>
                <w:lang w:bidi="ar"/>
              </w:rPr>
            </w:pPr>
            <w:r>
              <w:rPr>
                <w:rFonts w:hint="eastAsia" w:asciiTheme="minorEastAsia" w:hAnsiTheme="minorEastAsia" w:eastAsiaTheme="minorEastAsia" w:cstheme="minorEastAsia"/>
                <w:kern w:val="0"/>
                <w:sz w:val="21"/>
                <w:szCs w:val="21"/>
                <w:lang w:bidi="ar"/>
              </w:rPr>
              <w:t>度量阶段</w:t>
            </w:r>
          </w:p>
        </w:tc>
      </w:tr>
      <w:tr w14:paraId="16854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3" w:type="dxa"/>
            <w:vMerge w:val="restart"/>
            <w:shd w:val="clear" w:color="auto" w:fill="auto"/>
            <w:noWrap/>
            <w:vAlign w:val="center"/>
          </w:tcPr>
          <w:p w14:paraId="2B3AB6A4">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客户需求</w:t>
            </w:r>
          </w:p>
        </w:tc>
        <w:tc>
          <w:tcPr>
            <w:tcW w:w="2080" w:type="dxa"/>
            <w:gridSpan w:val="3"/>
            <w:shd w:val="clear" w:color="auto" w:fill="auto"/>
            <w:noWrap/>
            <w:vAlign w:val="center"/>
          </w:tcPr>
          <w:p w14:paraId="5C3BE414">
            <w:pPr>
              <w:widowControl/>
              <w:snapToGrid w:val="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功能用户需求</w:t>
            </w:r>
          </w:p>
        </w:tc>
        <w:tc>
          <w:tcPr>
            <w:tcW w:w="710" w:type="dxa"/>
            <w:vMerge w:val="restart"/>
            <w:shd w:val="clear" w:color="auto" w:fill="auto"/>
            <w:noWrap/>
            <w:vAlign w:val="center"/>
          </w:tcPr>
          <w:p w14:paraId="1E8074D0">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功能用户</w:t>
            </w:r>
          </w:p>
        </w:tc>
        <w:tc>
          <w:tcPr>
            <w:tcW w:w="600" w:type="dxa"/>
            <w:vMerge w:val="restart"/>
            <w:shd w:val="clear" w:color="auto" w:fill="auto"/>
            <w:vAlign w:val="center"/>
          </w:tcPr>
          <w:p w14:paraId="0DD77624">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触发事件</w:t>
            </w:r>
          </w:p>
        </w:tc>
        <w:tc>
          <w:tcPr>
            <w:tcW w:w="700" w:type="dxa"/>
            <w:vMerge w:val="restart"/>
            <w:shd w:val="clear" w:color="auto" w:fill="auto"/>
            <w:vAlign w:val="center"/>
          </w:tcPr>
          <w:p w14:paraId="54102655">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功能过程</w:t>
            </w:r>
          </w:p>
        </w:tc>
        <w:tc>
          <w:tcPr>
            <w:tcW w:w="780" w:type="dxa"/>
            <w:vMerge w:val="restart"/>
            <w:shd w:val="clear" w:color="auto" w:fill="auto"/>
            <w:noWrap/>
            <w:vAlign w:val="center"/>
          </w:tcPr>
          <w:p w14:paraId="629C4E41">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子过程描述</w:t>
            </w:r>
          </w:p>
        </w:tc>
        <w:tc>
          <w:tcPr>
            <w:tcW w:w="790" w:type="dxa"/>
            <w:vMerge w:val="restart"/>
            <w:shd w:val="clear" w:color="auto" w:fill="auto"/>
            <w:vAlign w:val="center"/>
          </w:tcPr>
          <w:p w14:paraId="6C39F155">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数据移动类型</w:t>
            </w:r>
          </w:p>
        </w:tc>
        <w:tc>
          <w:tcPr>
            <w:tcW w:w="600" w:type="dxa"/>
            <w:vMerge w:val="restart"/>
            <w:shd w:val="clear" w:color="auto" w:fill="auto"/>
            <w:noWrap/>
            <w:vAlign w:val="center"/>
          </w:tcPr>
          <w:p w14:paraId="272EAC9A">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数据组</w:t>
            </w:r>
          </w:p>
        </w:tc>
        <w:tc>
          <w:tcPr>
            <w:tcW w:w="680" w:type="dxa"/>
            <w:vMerge w:val="restart"/>
            <w:shd w:val="clear" w:color="auto" w:fill="auto"/>
            <w:vAlign w:val="center"/>
          </w:tcPr>
          <w:p w14:paraId="63D4EC8C">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数据属性</w:t>
            </w:r>
          </w:p>
        </w:tc>
        <w:tc>
          <w:tcPr>
            <w:tcW w:w="600" w:type="dxa"/>
            <w:vMerge w:val="restart"/>
            <w:shd w:val="clear" w:color="auto" w:fill="auto"/>
            <w:noWrap/>
            <w:vAlign w:val="center"/>
          </w:tcPr>
          <w:p w14:paraId="1EBDAB83">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CFP</w:t>
            </w:r>
          </w:p>
        </w:tc>
        <w:tc>
          <w:tcPr>
            <w:tcW w:w="620" w:type="dxa"/>
            <w:vMerge w:val="restart"/>
            <w:shd w:val="clear" w:color="auto" w:fill="auto"/>
            <w:noWrap/>
            <w:vAlign w:val="center"/>
          </w:tcPr>
          <w:p w14:paraId="27B15D9B">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复用度</w:t>
            </w:r>
          </w:p>
        </w:tc>
        <w:tc>
          <w:tcPr>
            <w:tcW w:w="721" w:type="dxa"/>
            <w:vMerge w:val="restart"/>
            <w:shd w:val="clear" w:color="auto" w:fill="auto"/>
            <w:noWrap/>
            <w:vAlign w:val="center"/>
          </w:tcPr>
          <w:p w14:paraId="492229EF">
            <w:pPr>
              <w:widowControl/>
              <w:snapToGrid w:val="0"/>
              <w:jc w:val="center"/>
              <w:textAlignment w:val="center"/>
              <w:rPr>
                <w:rFonts w:hint="eastAsia" w:asciiTheme="minorEastAsia" w:hAnsiTheme="minorEastAsia" w:eastAsiaTheme="minorEastAsia" w:cstheme="minorEastAsia"/>
                <w:kern w:val="0"/>
                <w:sz w:val="21"/>
                <w:szCs w:val="21"/>
                <w:lang w:bidi="ar"/>
              </w:rPr>
            </w:pPr>
            <w:r>
              <w:rPr>
                <w:rFonts w:hint="eastAsia" w:asciiTheme="minorEastAsia" w:hAnsiTheme="minorEastAsia" w:eastAsiaTheme="minorEastAsia" w:cstheme="minorEastAsia"/>
                <w:kern w:val="0"/>
                <w:sz w:val="21"/>
                <w:szCs w:val="21"/>
                <w:lang w:bidi="ar"/>
              </w:rPr>
              <w:t>CFP核定值</w:t>
            </w:r>
          </w:p>
        </w:tc>
      </w:tr>
      <w:tr w14:paraId="3E771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3" w:type="dxa"/>
            <w:vMerge w:val="continue"/>
            <w:shd w:val="clear" w:color="auto" w:fill="auto"/>
            <w:noWrap/>
            <w:vAlign w:val="center"/>
          </w:tcPr>
          <w:p w14:paraId="6DB910C2">
            <w:pPr>
              <w:widowControl/>
              <w:snapToGrid w:val="0"/>
              <w:jc w:val="center"/>
              <w:rPr>
                <w:rFonts w:hint="eastAsia" w:asciiTheme="minorEastAsia" w:hAnsiTheme="minorEastAsia" w:eastAsiaTheme="minorEastAsia" w:cstheme="minorEastAsia"/>
                <w:sz w:val="21"/>
                <w:szCs w:val="21"/>
              </w:rPr>
            </w:pPr>
          </w:p>
        </w:tc>
        <w:tc>
          <w:tcPr>
            <w:tcW w:w="700" w:type="dxa"/>
            <w:shd w:val="clear" w:color="auto" w:fill="auto"/>
            <w:noWrap/>
            <w:vAlign w:val="center"/>
          </w:tcPr>
          <w:p w14:paraId="375AB9CF">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一级模块</w:t>
            </w:r>
          </w:p>
        </w:tc>
        <w:tc>
          <w:tcPr>
            <w:tcW w:w="640" w:type="dxa"/>
            <w:shd w:val="clear" w:color="auto" w:fill="auto"/>
            <w:noWrap/>
            <w:vAlign w:val="center"/>
          </w:tcPr>
          <w:p w14:paraId="76DF0021">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二级模块</w:t>
            </w:r>
          </w:p>
        </w:tc>
        <w:tc>
          <w:tcPr>
            <w:tcW w:w="740" w:type="dxa"/>
            <w:shd w:val="clear" w:color="auto" w:fill="auto"/>
            <w:noWrap/>
            <w:vAlign w:val="center"/>
          </w:tcPr>
          <w:p w14:paraId="081B06A0">
            <w:pPr>
              <w:widowControl/>
              <w:snapToGrid w:val="0"/>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三级模块</w:t>
            </w:r>
          </w:p>
        </w:tc>
        <w:tc>
          <w:tcPr>
            <w:tcW w:w="710" w:type="dxa"/>
            <w:vMerge w:val="continue"/>
            <w:shd w:val="clear" w:color="auto" w:fill="auto"/>
            <w:noWrap/>
            <w:vAlign w:val="center"/>
          </w:tcPr>
          <w:p w14:paraId="3B526333">
            <w:pPr>
              <w:widowControl/>
              <w:snapToGrid w:val="0"/>
              <w:jc w:val="center"/>
              <w:rPr>
                <w:rFonts w:hint="eastAsia" w:asciiTheme="minorEastAsia" w:hAnsiTheme="minorEastAsia" w:eastAsiaTheme="minorEastAsia" w:cstheme="minorEastAsia"/>
                <w:sz w:val="21"/>
                <w:szCs w:val="21"/>
              </w:rPr>
            </w:pPr>
          </w:p>
        </w:tc>
        <w:tc>
          <w:tcPr>
            <w:tcW w:w="600" w:type="dxa"/>
            <w:vMerge w:val="continue"/>
            <w:shd w:val="clear" w:color="auto" w:fill="auto"/>
            <w:vAlign w:val="center"/>
          </w:tcPr>
          <w:p w14:paraId="4CE1F08F">
            <w:pPr>
              <w:widowControl/>
              <w:snapToGrid w:val="0"/>
              <w:jc w:val="center"/>
              <w:rPr>
                <w:rFonts w:hint="eastAsia" w:asciiTheme="minorEastAsia" w:hAnsiTheme="minorEastAsia" w:eastAsiaTheme="minorEastAsia" w:cstheme="minorEastAsia"/>
                <w:sz w:val="21"/>
                <w:szCs w:val="21"/>
              </w:rPr>
            </w:pPr>
          </w:p>
        </w:tc>
        <w:tc>
          <w:tcPr>
            <w:tcW w:w="700" w:type="dxa"/>
            <w:vMerge w:val="continue"/>
            <w:shd w:val="clear" w:color="auto" w:fill="auto"/>
            <w:vAlign w:val="center"/>
          </w:tcPr>
          <w:p w14:paraId="60ABDE45">
            <w:pPr>
              <w:widowControl/>
              <w:snapToGrid w:val="0"/>
              <w:jc w:val="center"/>
              <w:rPr>
                <w:rFonts w:hint="eastAsia" w:asciiTheme="minorEastAsia" w:hAnsiTheme="minorEastAsia" w:eastAsiaTheme="minorEastAsia" w:cstheme="minorEastAsia"/>
                <w:sz w:val="21"/>
                <w:szCs w:val="21"/>
              </w:rPr>
            </w:pPr>
          </w:p>
        </w:tc>
        <w:tc>
          <w:tcPr>
            <w:tcW w:w="780" w:type="dxa"/>
            <w:vMerge w:val="continue"/>
            <w:shd w:val="clear" w:color="auto" w:fill="auto"/>
            <w:noWrap/>
            <w:vAlign w:val="center"/>
          </w:tcPr>
          <w:p w14:paraId="151F319A">
            <w:pPr>
              <w:widowControl/>
              <w:snapToGrid w:val="0"/>
              <w:jc w:val="center"/>
              <w:rPr>
                <w:rFonts w:hint="eastAsia" w:asciiTheme="minorEastAsia" w:hAnsiTheme="minorEastAsia" w:eastAsiaTheme="minorEastAsia" w:cstheme="minorEastAsia"/>
                <w:sz w:val="21"/>
                <w:szCs w:val="21"/>
              </w:rPr>
            </w:pPr>
          </w:p>
        </w:tc>
        <w:tc>
          <w:tcPr>
            <w:tcW w:w="790" w:type="dxa"/>
            <w:vMerge w:val="continue"/>
            <w:shd w:val="clear" w:color="auto" w:fill="auto"/>
            <w:vAlign w:val="center"/>
          </w:tcPr>
          <w:p w14:paraId="09020F9F">
            <w:pPr>
              <w:widowControl/>
              <w:snapToGrid w:val="0"/>
              <w:jc w:val="center"/>
              <w:rPr>
                <w:rFonts w:hint="eastAsia" w:asciiTheme="minorEastAsia" w:hAnsiTheme="minorEastAsia" w:eastAsiaTheme="minorEastAsia" w:cstheme="minorEastAsia"/>
                <w:sz w:val="21"/>
                <w:szCs w:val="21"/>
              </w:rPr>
            </w:pPr>
          </w:p>
        </w:tc>
        <w:tc>
          <w:tcPr>
            <w:tcW w:w="600" w:type="dxa"/>
            <w:vMerge w:val="continue"/>
            <w:shd w:val="clear" w:color="auto" w:fill="auto"/>
            <w:noWrap/>
            <w:vAlign w:val="center"/>
          </w:tcPr>
          <w:p w14:paraId="3B8B5C6F">
            <w:pPr>
              <w:widowControl/>
              <w:snapToGrid w:val="0"/>
              <w:jc w:val="center"/>
              <w:rPr>
                <w:rFonts w:hint="eastAsia" w:asciiTheme="minorEastAsia" w:hAnsiTheme="minorEastAsia" w:eastAsiaTheme="minorEastAsia" w:cstheme="minorEastAsia"/>
                <w:sz w:val="21"/>
                <w:szCs w:val="21"/>
              </w:rPr>
            </w:pPr>
          </w:p>
        </w:tc>
        <w:tc>
          <w:tcPr>
            <w:tcW w:w="680" w:type="dxa"/>
            <w:vMerge w:val="continue"/>
            <w:shd w:val="clear" w:color="auto" w:fill="auto"/>
            <w:vAlign w:val="center"/>
          </w:tcPr>
          <w:p w14:paraId="3FADFF63">
            <w:pPr>
              <w:widowControl/>
              <w:snapToGrid w:val="0"/>
              <w:jc w:val="center"/>
              <w:rPr>
                <w:rFonts w:hint="eastAsia" w:asciiTheme="minorEastAsia" w:hAnsiTheme="minorEastAsia" w:eastAsiaTheme="minorEastAsia" w:cstheme="minorEastAsia"/>
                <w:sz w:val="21"/>
                <w:szCs w:val="21"/>
              </w:rPr>
            </w:pPr>
          </w:p>
        </w:tc>
        <w:tc>
          <w:tcPr>
            <w:tcW w:w="600" w:type="dxa"/>
            <w:vMerge w:val="continue"/>
            <w:shd w:val="clear" w:color="auto" w:fill="auto"/>
            <w:noWrap/>
            <w:vAlign w:val="center"/>
          </w:tcPr>
          <w:p w14:paraId="55DF0298">
            <w:pPr>
              <w:widowControl/>
              <w:snapToGrid w:val="0"/>
              <w:jc w:val="center"/>
              <w:rPr>
                <w:rFonts w:hint="eastAsia" w:asciiTheme="minorEastAsia" w:hAnsiTheme="minorEastAsia" w:eastAsiaTheme="minorEastAsia" w:cstheme="minorEastAsia"/>
                <w:sz w:val="21"/>
                <w:szCs w:val="21"/>
              </w:rPr>
            </w:pPr>
          </w:p>
        </w:tc>
        <w:tc>
          <w:tcPr>
            <w:tcW w:w="620" w:type="dxa"/>
            <w:vMerge w:val="continue"/>
            <w:shd w:val="clear" w:color="auto" w:fill="auto"/>
            <w:noWrap/>
            <w:vAlign w:val="center"/>
          </w:tcPr>
          <w:p w14:paraId="4F88BD71">
            <w:pPr>
              <w:widowControl/>
              <w:snapToGrid w:val="0"/>
              <w:jc w:val="center"/>
              <w:rPr>
                <w:rFonts w:hint="eastAsia" w:asciiTheme="minorEastAsia" w:hAnsiTheme="minorEastAsia" w:eastAsiaTheme="minorEastAsia" w:cstheme="minorEastAsia"/>
                <w:sz w:val="21"/>
                <w:szCs w:val="21"/>
              </w:rPr>
            </w:pPr>
          </w:p>
        </w:tc>
        <w:tc>
          <w:tcPr>
            <w:tcW w:w="721" w:type="dxa"/>
            <w:vMerge w:val="continue"/>
            <w:shd w:val="clear" w:color="auto" w:fill="auto"/>
            <w:noWrap/>
            <w:vAlign w:val="center"/>
          </w:tcPr>
          <w:p w14:paraId="12BC1729">
            <w:pPr>
              <w:widowControl/>
              <w:snapToGrid w:val="0"/>
              <w:jc w:val="center"/>
              <w:rPr>
                <w:rFonts w:hint="eastAsia" w:asciiTheme="minorEastAsia" w:hAnsiTheme="minorEastAsia" w:eastAsiaTheme="minorEastAsia" w:cstheme="minorEastAsia"/>
                <w:sz w:val="21"/>
                <w:szCs w:val="21"/>
              </w:rPr>
            </w:pPr>
          </w:p>
        </w:tc>
      </w:tr>
      <w:tr w14:paraId="6EBAA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3" w:type="dxa"/>
            <w:vMerge w:val="restart"/>
            <w:shd w:val="clear" w:color="auto" w:fill="auto"/>
            <w:vAlign w:val="center"/>
          </w:tcPr>
          <w:p w14:paraId="1C8A7AF1">
            <w:pPr>
              <w:widowControl/>
              <w:snapToGrid w:val="0"/>
              <w:jc w:val="center"/>
              <w:rPr>
                <w:rFonts w:hint="eastAsia" w:asciiTheme="minorEastAsia" w:hAnsiTheme="minorEastAsia" w:eastAsiaTheme="minorEastAsia" w:cstheme="minorEastAsia"/>
                <w:sz w:val="21"/>
                <w:szCs w:val="21"/>
              </w:rPr>
            </w:pPr>
          </w:p>
        </w:tc>
        <w:tc>
          <w:tcPr>
            <w:tcW w:w="700" w:type="dxa"/>
            <w:vMerge w:val="restart"/>
            <w:shd w:val="clear" w:color="auto" w:fill="auto"/>
            <w:vAlign w:val="center"/>
          </w:tcPr>
          <w:p w14:paraId="43DF76E1">
            <w:pPr>
              <w:widowControl/>
              <w:snapToGrid w:val="0"/>
              <w:jc w:val="center"/>
              <w:rPr>
                <w:rFonts w:hint="eastAsia" w:asciiTheme="minorEastAsia" w:hAnsiTheme="minorEastAsia" w:eastAsiaTheme="minorEastAsia" w:cstheme="minorEastAsia"/>
                <w:sz w:val="21"/>
                <w:szCs w:val="21"/>
              </w:rPr>
            </w:pPr>
          </w:p>
        </w:tc>
        <w:tc>
          <w:tcPr>
            <w:tcW w:w="640" w:type="dxa"/>
            <w:vMerge w:val="restart"/>
            <w:shd w:val="clear" w:color="auto" w:fill="auto"/>
            <w:vAlign w:val="center"/>
          </w:tcPr>
          <w:p w14:paraId="568D9360">
            <w:pPr>
              <w:widowControl/>
              <w:snapToGrid w:val="0"/>
              <w:jc w:val="center"/>
              <w:rPr>
                <w:rFonts w:hint="eastAsia" w:asciiTheme="minorEastAsia" w:hAnsiTheme="minorEastAsia" w:eastAsiaTheme="minorEastAsia" w:cstheme="minorEastAsia"/>
                <w:sz w:val="21"/>
                <w:szCs w:val="21"/>
              </w:rPr>
            </w:pPr>
          </w:p>
        </w:tc>
        <w:tc>
          <w:tcPr>
            <w:tcW w:w="740" w:type="dxa"/>
            <w:vMerge w:val="restart"/>
            <w:shd w:val="clear" w:color="auto" w:fill="auto"/>
            <w:vAlign w:val="center"/>
          </w:tcPr>
          <w:p w14:paraId="755DB651">
            <w:pPr>
              <w:widowControl/>
              <w:snapToGrid w:val="0"/>
              <w:jc w:val="center"/>
              <w:rPr>
                <w:rFonts w:hint="eastAsia" w:asciiTheme="minorEastAsia" w:hAnsiTheme="minorEastAsia" w:eastAsiaTheme="minorEastAsia" w:cstheme="minorEastAsia"/>
                <w:sz w:val="21"/>
                <w:szCs w:val="21"/>
              </w:rPr>
            </w:pPr>
          </w:p>
        </w:tc>
        <w:tc>
          <w:tcPr>
            <w:tcW w:w="710" w:type="dxa"/>
            <w:vMerge w:val="restart"/>
            <w:shd w:val="clear" w:color="auto" w:fill="auto"/>
            <w:vAlign w:val="center"/>
          </w:tcPr>
          <w:p w14:paraId="24D97AC3">
            <w:pPr>
              <w:widowControl/>
              <w:snapToGrid w:val="0"/>
              <w:jc w:val="center"/>
              <w:rPr>
                <w:rFonts w:hint="eastAsia" w:asciiTheme="minorEastAsia" w:hAnsiTheme="minorEastAsia" w:eastAsiaTheme="minorEastAsia" w:cstheme="minorEastAsia"/>
                <w:sz w:val="21"/>
                <w:szCs w:val="21"/>
              </w:rPr>
            </w:pPr>
          </w:p>
        </w:tc>
        <w:tc>
          <w:tcPr>
            <w:tcW w:w="600" w:type="dxa"/>
            <w:vMerge w:val="restart"/>
            <w:shd w:val="clear" w:color="auto" w:fill="auto"/>
            <w:vAlign w:val="center"/>
          </w:tcPr>
          <w:p w14:paraId="0C415773">
            <w:pPr>
              <w:widowControl/>
              <w:snapToGrid w:val="0"/>
              <w:jc w:val="center"/>
              <w:rPr>
                <w:rFonts w:hint="eastAsia" w:asciiTheme="minorEastAsia" w:hAnsiTheme="minorEastAsia" w:eastAsiaTheme="minorEastAsia" w:cstheme="minorEastAsia"/>
                <w:sz w:val="21"/>
                <w:szCs w:val="21"/>
              </w:rPr>
            </w:pPr>
          </w:p>
        </w:tc>
        <w:tc>
          <w:tcPr>
            <w:tcW w:w="700" w:type="dxa"/>
            <w:vMerge w:val="restart"/>
            <w:shd w:val="clear" w:color="auto" w:fill="auto"/>
            <w:vAlign w:val="center"/>
          </w:tcPr>
          <w:p w14:paraId="090DA71B">
            <w:pPr>
              <w:widowControl/>
              <w:snapToGrid w:val="0"/>
              <w:jc w:val="center"/>
              <w:rPr>
                <w:rFonts w:hint="eastAsia" w:asciiTheme="minorEastAsia" w:hAnsiTheme="minorEastAsia" w:eastAsiaTheme="minorEastAsia" w:cstheme="minorEastAsia"/>
                <w:sz w:val="21"/>
                <w:szCs w:val="21"/>
              </w:rPr>
            </w:pPr>
          </w:p>
        </w:tc>
        <w:tc>
          <w:tcPr>
            <w:tcW w:w="780" w:type="dxa"/>
            <w:shd w:val="clear" w:color="auto" w:fill="auto"/>
            <w:vAlign w:val="center"/>
          </w:tcPr>
          <w:p w14:paraId="65284C38">
            <w:pPr>
              <w:widowControl/>
              <w:snapToGrid w:val="0"/>
              <w:jc w:val="left"/>
              <w:rPr>
                <w:rFonts w:hint="eastAsia" w:asciiTheme="minorEastAsia" w:hAnsiTheme="minorEastAsia" w:eastAsiaTheme="minorEastAsia" w:cstheme="minorEastAsia"/>
                <w:sz w:val="21"/>
                <w:szCs w:val="21"/>
              </w:rPr>
            </w:pPr>
          </w:p>
        </w:tc>
        <w:tc>
          <w:tcPr>
            <w:tcW w:w="790" w:type="dxa"/>
            <w:shd w:val="clear" w:color="auto" w:fill="auto"/>
            <w:vAlign w:val="center"/>
          </w:tcPr>
          <w:p w14:paraId="22F94102">
            <w:pPr>
              <w:widowControl/>
              <w:snapToGrid w:val="0"/>
              <w:jc w:val="center"/>
              <w:rPr>
                <w:rFonts w:hint="eastAsia" w:asciiTheme="minorEastAsia" w:hAnsiTheme="minorEastAsia" w:eastAsiaTheme="minorEastAsia" w:cstheme="minorEastAsia"/>
                <w:sz w:val="21"/>
                <w:szCs w:val="21"/>
              </w:rPr>
            </w:pPr>
          </w:p>
        </w:tc>
        <w:tc>
          <w:tcPr>
            <w:tcW w:w="600" w:type="dxa"/>
            <w:shd w:val="clear" w:color="auto" w:fill="auto"/>
            <w:vAlign w:val="center"/>
          </w:tcPr>
          <w:p w14:paraId="14B53274">
            <w:pPr>
              <w:widowControl/>
              <w:snapToGrid w:val="0"/>
              <w:jc w:val="left"/>
              <w:rPr>
                <w:rFonts w:hint="eastAsia" w:asciiTheme="minorEastAsia" w:hAnsiTheme="minorEastAsia" w:eastAsiaTheme="minorEastAsia" w:cstheme="minorEastAsia"/>
                <w:sz w:val="21"/>
                <w:szCs w:val="21"/>
              </w:rPr>
            </w:pPr>
          </w:p>
        </w:tc>
        <w:tc>
          <w:tcPr>
            <w:tcW w:w="680" w:type="dxa"/>
            <w:shd w:val="clear" w:color="auto" w:fill="auto"/>
            <w:vAlign w:val="center"/>
          </w:tcPr>
          <w:p w14:paraId="14457FB8">
            <w:pPr>
              <w:widowControl/>
              <w:snapToGrid w:val="0"/>
              <w:jc w:val="left"/>
              <w:rPr>
                <w:rFonts w:hint="eastAsia" w:asciiTheme="minorEastAsia" w:hAnsiTheme="minorEastAsia" w:eastAsiaTheme="minorEastAsia" w:cstheme="minorEastAsia"/>
                <w:sz w:val="21"/>
                <w:szCs w:val="21"/>
              </w:rPr>
            </w:pPr>
          </w:p>
        </w:tc>
        <w:tc>
          <w:tcPr>
            <w:tcW w:w="600" w:type="dxa"/>
            <w:shd w:val="clear" w:color="auto" w:fill="auto"/>
            <w:noWrap/>
            <w:vAlign w:val="center"/>
          </w:tcPr>
          <w:p w14:paraId="353D6D6D">
            <w:pPr>
              <w:widowControl/>
              <w:snapToGrid w:val="0"/>
              <w:jc w:val="center"/>
              <w:rPr>
                <w:rFonts w:hint="eastAsia" w:asciiTheme="minorEastAsia" w:hAnsiTheme="minorEastAsia" w:eastAsiaTheme="minorEastAsia" w:cstheme="minorEastAsia"/>
                <w:sz w:val="21"/>
                <w:szCs w:val="21"/>
              </w:rPr>
            </w:pPr>
          </w:p>
        </w:tc>
        <w:tc>
          <w:tcPr>
            <w:tcW w:w="620" w:type="dxa"/>
            <w:shd w:val="clear" w:color="auto" w:fill="auto"/>
            <w:noWrap/>
            <w:vAlign w:val="center"/>
          </w:tcPr>
          <w:p w14:paraId="00A9E694">
            <w:pPr>
              <w:widowControl/>
              <w:snapToGrid w:val="0"/>
              <w:jc w:val="center"/>
              <w:rPr>
                <w:rFonts w:hint="eastAsia" w:asciiTheme="minorEastAsia" w:hAnsiTheme="minorEastAsia" w:eastAsiaTheme="minorEastAsia" w:cstheme="minorEastAsia"/>
                <w:sz w:val="21"/>
                <w:szCs w:val="21"/>
              </w:rPr>
            </w:pPr>
          </w:p>
        </w:tc>
        <w:tc>
          <w:tcPr>
            <w:tcW w:w="721" w:type="dxa"/>
            <w:shd w:val="clear" w:color="auto" w:fill="auto"/>
            <w:noWrap/>
            <w:vAlign w:val="center"/>
          </w:tcPr>
          <w:p w14:paraId="013C54B7">
            <w:pPr>
              <w:widowControl/>
              <w:snapToGrid w:val="0"/>
              <w:jc w:val="center"/>
              <w:rPr>
                <w:rFonts w:hint="eastAsia" w:asciiTheme="minorEastAsia" w:hAnsiTheme="minorEastAsia" w:eastAsiaTheme="minorEastAsia" w:cstheme="minorEastAsia"/>
                <w:sz w:val="21"/>
                <w:szCs w:val="21"/>
              </w:rPr>
            </w:pPr>
          </w:p>
        </w:tc>
      </w:tr>
      <w:tr w14:paraId="6A23B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trPr>
        <w:tc>
          <w:tcPr>
            <w:tcW w:w="593" w:type="dxa"/>
            <w:vMerge w:val="continue"/>
            <w:shd w:val="clear" w:color="auto" w:fill="auto"/>
            <w:vAlign w:val="center"/>
          </w:tcPr>
          <w:p w14:paraId="3A988634">
            <w:pPr>
              <w:widowControl/>
              <w:snapToGrid w:val="0"/>
              <w:jc w:val="center"/>
              <w:rPr>
                <w:rFonts w:hint="eastAsia" w:asciiTheme="minorEastAsia" w:hAnsiTheme="minorEastAsia" w:eastAsiaTheme="minorEastAsia" w:cstheme="minorEastAsia"/>
                <w:sz w:val="21"/>
                <w:szCs w:val="21"/>
              </w:rPr>
            </w:pPr>
          </w:p>
        </w:tc>
        <w:tc>
          <w:tcPr>
            <w:tcW w:w="700" w:type="dxa"/>
            <w:vMerge w:val="continue"/>
            <w:shd w:val="clear" w:color="auto" w:fill="auto"/>
            <w:vAlign w:val="center"/>
          </w:tcPr>
          <w:p w14:paraId="70EE95CF">
            <w:pPr>
              <w:widowControl/>
              <w:snapToGrid w:val="0"/>
              <w:jc w:val="center"/>
              <w:rPr>
                <w:rFonts w:hint="eastAsia" w:asciiTheme="minorEastAsia" w:hAnsiTheme="minorEastAsia" w:eastAsiaTheme="minorEastAsia" w:cstheme="minorEastAsia"/>
                <w:sz w:val="21"/>
                <w:szCs w:val="21"/>
              </w:rPr>
            </w:pPr>
          </w:p>
        </w:tc>
        <w:tc>
          <w:tcPr>
            <w:tcW w:w="640" w:type="dxa"/>
            <w:vMerge w:val="continue"/>
            <w:shd w:val="clear" w:color="auto" w:fill="auto"/>
            <w:vAlign w:val="center"/>
          </w:tcPr>
          <w:p w14:paraId="69D3F5A4">
            <w:pPr>
              <w:widowControl/>
              <w:snapToGrid w:val="0"/>
              <w:jc w:val="center"/>
              <w:rPr>
                <w:rFonts w:hint="eastAsia" w:asciiTheme="minorEastAsia" w:hAnsiTheme="minorEastAsia" w:eastAsiaTheme="minorEastAsia" w:cstheme="minorEastAsia"/>
                <w:sz w:val="21"/>
                <w:szCs w:val="21"/>
              </w:rPr>
            </w:pPr>
          </w:p>
        </w:tc>
        <w:tc>
          <w:tcPr>
            <w:tcW w:w="740" w:type="dxa"/>
            <w:vMerge w:val="continue"/>
            <w:shd w:val="clear" w:color="auto" w:fill="auto"/>
            <w:vAlign w:val="center"/>
          </w:tcPr>
          <w:p w14:paraId="59040197">
            <w:pPr>
              <w:widowControl/>
              <w:snapToGrid w:val="0"/>
              <w:jc w:val="center"/>
              <w:rPr>
                <w:rFonts w:hint="eastAsia" w:asciiTheme="minorEastAsia" w:hAnsiTheme="minorEastAsia" w:eastAsiaTheme="minorEastAsia" w:cstheme="minorEastAsia"/>
                <w:sz w:val="21"/>
                <w:szCs w:val="21"/>
              </w:rPr>
            </w:pPr>
          </w:p>
        </w:tc>
        <w:tc>
          <w:tcPr>
            <w:tcW w:w="710" w:type="dxa"/>
            <w:vMerge w:val="continue"/>
            <w:shd w:val="clear" w:color="auto" w:fill="auto"/>
            <w:vAlign w:val="center"/>
          </w:tcPr>
          <w:p w14:paraId="74FBB51D">
            <w:pPr>
              <w:widowControl/>
              <w:snapToGrid w:val="0"/>
              <w:jc w:val="center"/>
              <w:rPr>
                <w:rFonts w:hint="eastAsia" w:asciiTheme="minorEastAsia" w:hAnsiTheme="minorEastAsia" w:eastAsiaTheme="minorEastAsia" w:cstheme="minorEastAsia"/>
                <w:sz w:val="21"/>
                <w:szCs w:val="21"/>
              </w:rPr>
            </w:pPr>
          </w:p>
        </w:tc>
        <w:tc>
          <w:tcPr>
            <w:tcW w:w="600" w:type="dxa"/>
            <w:vMerge w:val="continue"/>
            <w:shd w:val="clear" w:color="auto" w:fill="auto"/>
            <w:vAlign w:val="center"/>
          </w:tcPr>
          <w:p w14:paraId="73001581">
            <w:pPr>
              <w:widowControl/>
              <w:snapToGrid w:val="0"/>
              <w:jc w:val="center"/>
              <w:rPr>
                <w:rFonts w:hint="eastAsia" w:asciiTheme="minorEastAsia" w:hAnsiTheme="minorEastAsia" w:eastAsiaTheme="minorEastAsia" w:cstheme="minorEastAsia"/>
                <w:sz w:val="21"/>
                <w:szCs w:val="21"/>
              </w:rPr>
            </w:pPr>
          </w:p>
        </w:tc>
        <w:tc>
          <w:tcPr>
            <w:tcW w:w="700" w:type="dxa"/>
            <w:vMerge w:val="continue"/>
            <w:shd w:val="clear" w:color="auto" w:fill="auto"/>
            <w:vAlign w:val="center"/>
          </w:tcPr>
          <w:p w14:paraId="49650B89">
            <w:pPr>
              <w:widowControl/>
              <w:snapToGrid w:val="0"/>
              <w:jc w:val="center"/>
              <w:rPr>
                <w:rFonts w:hint="eastAsia" w:asciiTheme="minorEastAsia" w:hAnsiTheme="minorEastAsia" w:eastAsiaTheme="minorEastAsia" w:cstheme="minorEastAsia"/>
                <w:sz w:val="21"/>
                <w:szCs w:val="21"/>
              </w:rPr>
            </w:pPr>
          </w:p>
        </w:tc>
        <w:tc>
          <w:tcPr>
            <w:tcW w:w="780" w:type="dxa"/>
            <w:shd w:val="clear" w:color="auto" w:fill="auto"/>
            <w:vAlign w:val="center"/>
          </w:tcPr>
          <w:p w14:paraId="21C11B4D">
            <w:pPr>
              <w:widowControl/>
              <w:snapToGrid w:val="0"/>
              <w:jc w:val="left"/>
              <w:rPr>
                <w:rFonts w:hint="eastAsia" w:asciiTheme="minorEastAsia" w:hAnsiTheme="minorEastAsia" w:eastAsiaTheme="minorEastAsia" w:cstheme="minorEastAsia"/>
                <w:sz w:val="21"/>
                <w:szCs w:val="21"/>
              </w:rPr>
            </w:pPr>
          </w:p>
        </w:tc>
        <w:tc>
          <w:tcPr>
            <w:tcW w:w="790" w:type="dxa"/>
            <w:shd w:val="clear" w:color="auto" w:fill="auto"/>
            <w:vAlign w:val="center"/>
          </w:tcPr>
          <w:p w14:paraId="43BDE9B1">
            <w:pPr>
              <w:widowControl/>
              <w:snapToGrid w:val="0"/>
              <w:jc w:val="center"/>
              <w:rPr>
                <w:rFonts w:hint="eastAsia" w:asciiTheme="minorEastAsia" w:hAnsiTheme="minorEastAsia" w:eastAsiaTheme="minorEastAsia" w:cstheme="minorEastAsia"/>
                <w:sz w:val="21"/>
                <w:szCs w:val="21"/>
              </w:rPr>
            </w:pPr>
          </w:p>
        </w:tc>
        <w:tc>
          <w:tcPr>
            <w:tcW w:w="600" w:type="dxa"/>
            <w:shd w:val="clear" w:color="auto" w:fill="auto"/>
            <w:vAlign w:val="center"/>
          </w:tcPr>
          <w:p w14:paraId="58F21902">
            <w:pPr>
              <w:widowControl/>
              <w:snapToGrid w:val="0"/>
              <w:jc w:val="left"/>
              <w:rPr>
                <w:rFonts w:hint="eastAsia" w:asciiTheme="minorEastAsia" w:hAnsiTheme="minorEastAsia" w:eastAsiaTheme="minorEastAsia" w:cstheme="minorEastAsia"/>
                <w:sz w:val="21"/>
                <w:szCs w:val="21"/>
              </w:rPr>
            </w:pPr>
          </w:p>
        </w:tc>
        <w:tc>
          <w:tcPr>
            <w:tcW w:w="680" w:type="dxa"/>
            <w:shd w:val="clear" w:color="auto" w:fill="auto"/>
            <w:vAlign w:val="center"/>
          </w:tcPr>
          <w:p w14:paraId="3353D036">
            <w:pPr>
              <w:widowControl/>
              <w:snapToGrid w:val="0"/>
              <w:jc w:val="left"/>
              <w:rPr>
                <w:rFonts w:hint="eastAsia" w:asciiTheme="minorEastAsia" w:hAnsiTheme="minorEastAsia" w:eastAsiaTheme="minorEastAsia" w:cstheme="minorEastAsia"/>
                <w:sz w:val="21"/>
                <w:szCs w:val="21"/>
              </w:rPr>
            </w:pPr>
          </w:p>
        </w:tc>
        <w:tc>
          <w:tcPr>
            <w:tcW w:w="600" w:type="dxa"/>
            <w:shd w:val="clear" w:color="auto" w:fill="auto"/>
            <w:noWrap/>
            <w:vAlign w:val="center"/>
          </w:tcPr>
          <w:p w14:paraId="02AC1270">
            <w:pPr>
              <w:widowControl/>
              <w:snapToGrid w:val="0"/>
              <w:jc w:val="center"/>
              <w:rPr>
                <w:rFonts w:hint="eastAsia" w:asciiTheme="minorEastAsia" w:hAnsiTheme="minorEastAsia" w:eastAsiaTheme="minorEastAsia" w:cstheme="minorEastAsia"/>
                <w:sz w:val="21"/>
                <w:szCs w:val="21"/>
              </w:rPr>
            </w:pPr>
          </w:p>
        </w:tc>
        <w:tc>
          <w:tcPr>
            <w:tcW w:w="620" w:type="dxa"/>
            <w:shd w:val="clear" w:color="auto" w:fill="auto"/>
            <w:noWrap/>
            <w:vAlign w:val="center"/>
          </w:tcPr>
          <w:p w14:paraId="0B864BFA">
            <w:pPr>
              <w:widowControl/>
              <w:snapToGrid w:val="0"/>
              <w:jc w:val="center"/>
              <w:rPr>
                <w:rFonts w:hint="eastAsia" w:asciiTheme="minorEastAsia" w:hAnsiTheme="minorEastAsia" w:eastAsiaTheme="minorEastAsia" w:cstheme="minorEastAsia"/>
                <w:sz w:val="21"/>
                <w:szCs w:val="21"/>
              </w:rPr>
            </w:pPr>
          </w:p>
        </w:tc>
        <w:tc>
          <w:tcPr>
            <w:tcW w:w="721" w:type="dxa"/>
            <w:shd w:val="clear" w:color="auto" w:fill="auto"/>
            <w:noWrap/>
            <w:vAlign w:val="center"/>
          </w:tcPr>
          <w:p w14:paraId="12D1780A">
            <w:pPr>
              <w:widowControl/>
              <w:snapToGrid w:val="0"/>
              <w:jc w:val="center"/>
              <w:rPr>
                <w:rFonts w:hint="eastAsia" w:asciiTheme="minorEastAsia" w:hAnsiTheme="minorEastAsia" w:eastAsiaTheme="minorEastAsia" w:cstheme="minorEastAsia"/>
                <w:sz w:val="21"/>
                <w:szCs w:val="21"/>
              </w:rPr>
            </w:pPr>
          </w:p>
        </w:tc>
      </w:tr>
      <w:tr w14:paraId="7EA56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3" w:type="dxa"/>
            <w:vMerge w:val="continue"/>
            <w:shd w:val="clear" w:color="auto" w:fill="auto"/>
            <w:vAlign w:val="center"/>
          </w:tcPr>
          <w:p w14:paraId="5FFBDCDA">
            <w:pPr>
              <w:widowControl/>
              <w:snapToGrid w:val="0"/>
              <w:jc w:val="center"/>
              <w:rPr>
                <w:rFonts w:hint="eastAsia" w:asciiTheme="minorEastAsia" w:hAnsiTheme="minorEastAsia" w:eastAsiaTheme="minorEastAsia" w:cstheme="minorEastAsia"/>
                <w:sz w:val="21"/>
                <w:szCs w:val="21"/>
              </w:rPr>
            </w:pPr>
          </w:p>
        </w:tc>
        <w:tc>
          <w:tcPr>
            <w:tcW w:w="700" w:type="dxa"/>
            <w:vMerge w:val="continue"/>
            <w:shd w:val="clear" w:color="auto" w:fill="auto"/>
            <w:vAlign w:val="center"/>
          </w:tcPr>
          <w:p w14:paraId="6D61A4A7">
            <w:pPr>
              <w:widowControl/>
              <w:snapToGrid w:val="0"/>
              <w:jc w:val="center"/>
              <w:rPr>
                <w:rFonts w:hint="eastAsia" w:asciiTheme="minorEastAsia" w:hAnsiTheme="minorEastAsia" w:eastAsiaTheme="minorEastAsia" w:cstheme="minorEastAsia"/>
                <w:sz w:val="21"/>
                <w:szCs w:val="21"/>
              </w:rPr>
            </w:pPr>
          </w:p>
        </w:tc>
        <w:tc>
          <w:tcPr>
            <w:tcW w:w="640" w:type="dxa"/>
            <w:vMerge w:val="continue"/>
            <w:shd w:val="clear" w:color="auto" w:fill="auto"/>
            <w:vAlign w:val="center"/>
          </w:tcPr>
          <w:p w14:paraId="06D82D72">
            <w:pPr>
              <w:widowControl/>
              <w:snapToGrid w:val="0"/>
              <w:jc w:val="center"/>
              <w:rPr>
                <w:rFonts w:hint="eastAsia" w:asciiTheme="minorEastAsia" w:hAnsiTheme="minorEastAsia" w:eastAsiaTheme="minorEastAsia" w:cstheme="minorEastAsia"/>
                <w:sz w:val="21"/>
                <w:szCs w:val="21"/>
              </w:rPr>
            </w:pPr>
          </w:p>
        </w:tc>
        <w:tc>
          <w:tcPr>
            <w:tcW w:w="740" w:type="dxa"/>
            <w:vMerge w:val="continue"/>
            <w:shd w:val="clear" w:color="auto" w:fill="auto"/>
            <w:vAlign w:val="center"/>
          </w:tcPr>
          <w:p w14:paraId="29EBAD97">
            <w:pPr>
              <w:widowControl/>
              <w:snapToGrid w:val="0"/>
              <w:jc w:val="center"/>
              <w:rPr>
                <w:rFonts w:hint="eastAsia" w:asciiTheme="minorEastAsia" w:hAnsiTheme="minorEastAsia" w:eastAsiaTheme="minorEastAsia" w:cstheme="minorEastAsia"/>
                <w:sz w:val="21"/>
                <w:szCs w:val="21"/>
              </w:rPr>
            </w:pPr>
          </w:p>
        </w:tc>
        <w:tc>
          <w:tcPr>
            <w:tcW w:w="710" w:type="dxa"/>
            <w:vMerge w:val="continue"/>
            <w:shd w:val="clear" w:color="auto" w:fill="auto"/>
            <w:vAlign w:val="center"/>
          </w:tcPr>
          <w:p w14:paraId="55C57EA7">
            <w:pPr>
              <w:widowControl/>
              <w:snapToGrid w:val="0"/>
              <w:jc w:val="center"/>
              <w:rPr>
                <w:rFonts w:hint="eastAsia" w:asciiTheme="minorEastAsia" w:hAnsiTheme="minorEastAsia" w:eastAsiaTheme="minorEastAsia" w:cstheme="minorEastAsia"/>
                <w:sz w:val="21"/>
                <w:szCs w:val="21"/>
              </w:rPr>
            </w:pPr>
          </w:p>
        </w:tc>
        <w:tc>
          <w:tcPr>
            <w:tcW w:w="600" w:type="dxa"/>
            <w:vMerge w:val="continue"/>
            <w:shd w:val="clear" w:color="auto" w:fill="auto"/>
            <w:vAlign w:val="center"/>
          </w:tcPr>
          <w:p w14:paraId="1B9336D1">
            <w:pPr>
              <w:widowControl/>
              <w:snapToGrid w:val="0"/>
              <w:jc w:val="center"/>
              <w:rPr>
                <w:rFonts w:hint="eastAsia" w:asciiTheme="minorEastAsia" w:hAnsiTheme="minorEastAsia" w:eastAsiaTheme="minorEastAsia" w:cstheme="minorEastAsia"/>
                <w:sz w:val="21"/>
                <w:szCs w:val="21"/>
              </w:rPr>
            </w:pPr>
          </w:p>
        </w:tc>
        <w:tc>
          <w:tcPr>
            <w:tcW w:w="700" w:type="dxa"/>
            <w:vMerge w:val="continue"/>
            <w:shd w:val="clear" w:color="auto" w:fill="auto"/>
            <w:vAlign w:val="center"/>
          </w:tcPr>
          <w:p w14:paraId="27BACAE9">
            <w:pPr>
              <w:widowControl/>
              <w:snapToGrid w:val="0"/>
              <w:jc w:val="center"/>
              <w:rPr>
                <w:rFonts w:hint="eastAsia" w:asciiTheme="minorEastAsia" w:hAnsiTheme="minorEastAsia" w:eastAsiaTheme="minorEastAsia" w:cstheme="minorEastAsia"/>
                <w:sz w:val="21"/>
                <w:szCs w:val="21"/>
              </w:rPr>
            </w:pPr>
          </w:p>
        </w:tc>
        <w:tc>
          <w:tcPr>
            <w:tcW w:w="780" w:type="dxa"/>
            <w:shd w:val="clear" w:color="auto" w:fill="auto"/>
            <w:vAlign w:val="center"/>
          </w:tcPr>
          <w:p w14:paraId="375C3FFE">
            <w:pPr>
              <w:widowControl/>
              <w:snapToGrid w:val="0"/>
              <w:jc w:val="left"/>
              <w:rPr>
                <w:rFonts w:hint="eastAsia" w:asciiTheme="minorEastAsia" w:hAnsiTheme="minorEastAsia" w:eastAsiaTheme="minorEastAsia" w:cstheme="minorEastAsia"/>
                <w:sz w:val="21"/>
                <w:szCs w:val="21"/>
              </w:rPr>
            </w:pPr>
          </w:p>
        </w:tc>
        <w:tc>
          <w:tcPr>
            <w:tcW w:w="790" w:type="dxa"/>
            <w:shd w:val="clear" w:color="auto" w:fill="auto"/>
            <w:vAlign w:val="center"/>
          </w:tcPr>
          <w:p w14:paraId="4566C053">
            <w:pPr>
              <w:widowControl/>
              <w:snapToGrid w:val="0"/>
              <w:jc w:val="center"/>
              <w:rPr>
                <w:rFonts w:hint="eastAsia" w:asciiTheme="minorEastAsia" w:hAnsiTheme="minorEastAsia" w:eastAsiaTheme="minorEastAsia" w:cstheme="minorEastAsia"/>
                <w:sz w:val="21"/>
                <w:szCs w:val="21"/>
              </w:rPr>
            </w:pPr>
          </w:p>
        </w:tc>
        <w:tc>
          <w:tcPr>
            <w:tcW w:w="600" w:type="dxa"/>
            <w:shd w:val="clear" w:color="auto" w:fill="auto"/>
            <w:vAlign w:val="center"/>
          </w:tcPr>
          <w:p w14:paraId="1084E748">
            <w:pPr>
              <w:widowControl/>
              <w:snapToGrid w:val="0"/>
              <w:jc w:val="left"/>
              <w:rPr>
                <w:rFonts w:hint="eastAsia" w:asciiTheme="minorEastAsia" w:hAnsiTheme="minorEastAsia" w:eastAsiaTheme="minorEastAsia" w:cstheme="minorEastAsia"/>
                <w:sz w:val="21"/>
                <w:szCs w:val="21"/>
              </w:rPr>
            </w:pPr>
          </w:p>
        </w:tc>
        <w:tc>
          <w:tcPr>
            <w:tcW w:w="680" w:type="dxa"/>
            <w:shd w:val="clear" w:color="auto" w:fill="auto"/>
            <w:vAlign w:val="center"/>
          </w:tcPr>
          <w:p w14:paraId="28630BA0">
            <w:pPr>
              <w:widowControl/>
              <w:snapToGrid w:val="0"/>
              <w:jc w:val="left"/>
              <w:rPr>
                <w:rFonts w:hint="eastAsia" w:asciiTheme="minorEastAsia" w:hAnsiTheme="minorEastAsia" w:eastAsiaTheme="minorEastAsia" w:cstheme="minorEastAsia"/>
                <w:sz w:val="21"/>
                <w:szCs w:val="21"/>
              </w:rPr>
            </w:pPr>
          </w:p>
        </w:tc>
        <w:tc>
          <w:tcPr>
            <w:tcW w:w="600" w:type="dxa"/>
            <w:shd w:val="clear" w:color="auto" w:fill="auto"/>
            <w:noWrap/>
            <w:vAlign w:val="center"/>
          </w:tcPr>
          <w:p w14:paraId="0F678D86">
            <w:pPr>
              <w:widowControl/>
              <w:snapToGrid w:val="0"/>
              <w:jc w:val="center"/>
              <w:rPr>
                <w:rFonts w:hint="eastAsia" w:asciiTheme="minorEastAsia" w:hAnsiTheme="minorEastAsia" w:eastAsiaTheme="minorEastAsia" w:cstheme="minorEastAsia"/>
                <w:sz w:val="21"/>
                <w:szCs w:val="21"/>
              </w:rPr>
            </w:pPr>
          </w:p>
        </w:tc>
        <w:tc>
          <w:tcPr>
            <w:tcW w:w="620" w:type="dxa"/>
            <w:shd w:val="clear" w:color="auto" w:fill="auto"/>
            <w:noWrap/>
            <w:vAlign w:val="center"/>
          </w:tcPr>
          <w:p w14:paraId="70C35B9E">
            <w:pPr>
              <w:widowControl/>
              <w:snapToGrid w:val="0"/>
              <w:jc w:val="center"/>
              <w:rPr>
                <w:rFonts w:hint="eastAsia" w:asciiTheme="minorEastAsia" w:hAnsiTheme="minorEastAsia" w:eastAsiaTheme="minorEastAsia" w:cstheme="minorEastAsia"/>
                <w:sz w:val="21"/>
                <w:szCs w:val="21"/>
              </w:rPr>
            </w:pPr>
          </w:p>
        </w:tc>
        <w:tc>
          <w:tcPr>
            <w:tcW w:w="721" w:type="dxa"/>
            <w:shd w:val="clear" w:color="auto" w:fill="auto"/>
            <w:noWrap/>
            <w:vAlign w:val="center"/>
          </w:tcPr>
          <w:p w14:paraId="5A9B07A2">
            <w:pPr>
              <w:widowControl/>
              <w:snapToGrid w:val="0"/>
              <w:jc w:val="center"/>
              <w:rPr>
                <w:rFonts w:hint="eastAsia" w:asciiTheme="minorEastAsia" w:hAnsiTheme="minorEastAsia" w:eastAsiaTheme="minorEastAsia" w:cstheme="minorEastAsia"/>
                <w:sz w:val="21"/>
                <w:szCs w:val="21"/>
              </w:rPr>
            </w:pPr>
          </w:p>
        </w:tc>
      </w:tr>
    </w:tbl>
    <w:p w14:paraId="7037A3E0">
      <w:pPr>
        <w:pStyle w:val="142"/>
        <w:ind w:firstLine="420"/>
        <w:rPr>
          <w:rFonts w:hAnsi="宋体" w:cs="宋体"/>
          <w:szCs w:val="21"/>
        </w:rPr>
      </w:pPr>
      <w:r>
        <w:rPr>
          <w:rFonts w:hint="eastAsia" w:hAnsi="宋体" w:cs="宋体"/>
          <w:szCs w:val="21"/>
        </w:rPr>
        <w:t>说明：</w:t>
      </w:r>
    </w:p>
    <w:p w14:paraId="30558CAD">
      <w:pPr>
        <w:pStyle w:val="142"/>
        <w:ind w:firstLine="420"/>
        <w:rPr>
          <w:rFonts w:hAnsi="宋体" w:cs="宋体"/>
          <w:szCs w:val="21"/>
        </w:rPr>
      </w:pPr>
      <w:r>
        <w:rPr>
          <w:rFonts w:hint="eastAsia" w:hAnsi="宋体" w:cs="宋体"/>
          <w:szCs w:val="21"/>
        </w:rPr>
        <w:t>一级模块：本次需求需要改造的本项目（或子系统）中已有的一级业务功能名称，或者本次需求新增的本项目（或子系统）的一级业务功能名称，由二级模块及所属二级模块的三级模块组织。</w:t>
      </w:r>
    </w:p>
    <w:p w14:paraId="22144ABC">
      <w:pPr>
        <w:pStyle w:val="142"/>
        <w:ind w:firstLine="420"/>
        <w:rPr>
          <w:rFonts w:hAnsi="宋体" w:cs="宋体"/>
          <w:szCs w:val="21"/>
        </w:rPr>
      </w:pPr>
      <w:r>
        <w:rPr>
          <w:rFonts w:hint="eastAsia" w:hAnsi="宋体" w:cs="宋体"/>
          <w:szCs w:val="21"/>
        </w:rPr>
        <w:t>二级模块：本次需求需要改造的本项目（或子系统）中已有的二级业务功能名称，或者本次需求新增的本项目（或子系统）的二级业务功能名称，二级模块组成一级模块。</w:t>
      </w:r>
    </w:p>
    <w:p w14:paraId="140CF8C3">
      <w:pPr>
        <w:pStyle w:val="142"/>
        <w:ind w:firstLine="420"/>
        <w:rPr>
          <w:rFonts w:hAnsi="宋体" w:cs="宋体"/>
          <w:szCs w:val="21"/>
        </w:rPr>
      </w:pPr>
      <w:r>
        <w:rPr>
          <w:rFonts w:hint="eastAsia" w:hAnsi="宋体" w:cs="宋体"/>
          <w:szCs w:val="21"/>
        </w:rPr>
        <w:t>三级模块：本次需求需要改造的本项目（或子系统）中已有的三级业务功能名称，或者本次需求新增的本项目（或子系统）的三级业务功能名称，三级模块组织二级模块。选填。</w:t>
      </w:r>
    </w:p>
    <w:p w14:paraId="3C5552B0">
      <w:pPr>
        <w:pStyle w:val="142"/>
        <w:ind w:firstLine="420"/>
        <w:rPr>
          <w:rFonts w:hAnsi="宋体" w:cs="宋体"/>
          <w:szCs w:val="21"/>
        </w:rPr>
      </w:pPr>
      <w:r>
        <w:rPr>
          <w:rFonts w:hint="eastAsia" w:hAnsi="宋体" w:cs="宋体"/>
          <w:szCs w:val="21"/>
        </w:rPr>
        <w:t>功能用户：一个（类）用户是软件块的功能性用户需求中数据的发送者或者预期的接收者。（功能用户可能是自然人、系统、程序、模块）若数据发起者有多个，要求拆分为1对1 的进行填写。</w:t>
      </w:r>
    </w:p>
    <w:p w14:paraId="4D42CFEE">
      <w:pPr>
        <w:pStyle w:val="142"/>
        <w:ind w:firstLine="420"/>
        <w:rPr>
          <w:rFonts w:hAnsi="宋体" w:cs="宋体"/>
          <w:szCs w:val="21"/>
        </w:rPr>
      </w:pPr>
      <w:r>
        <w:rPr>
          <w:rFonts w:hint="eastAsia" w:hAnsi="宋体" w:cs="宋体"/>
          <w:szCs w:val="21"/>
        </w:rPr>
        <w:t>触发事件：待度量软件的功能性用户需求中可识别的一个事件，此事件使得一个或多个软件功能用户产生一个或多个数据组，每个数据组随后被一个触发输入所移动。子过程第一行和触发事件逻辑相通。</w:t>
      </w:r>
    </w:p>
    <w:p w14:paraId="2C6AD199">
      <w:pPr>
        <w:pStyle w:val="142"/>
        <w:ind w:firstLine="420"/>
        <w:rPr>
          <w:rFonts w:hAnsi="宋体" w:cs="宋体"/>
          <w:szCs w:val="21"/>
        </w:rPr>
      </w:pPr>
      <w:r>
        <w:rPr>
          <w:rFonts w:hint="eastAsia" w:hAnsi="宋体" w:cs="宋体"/>
          <w:szCs w:val="21"/>
        </w:rPr>
        <w:t>功能过程：用户可感知的最小粒度单元。它体现了待度量软件的功能性用户需求基本部件的一组数据移动，该功能处理在该FUR中是独一无二的，并能独立于该FUR的其他功能处理被定义。一个功能处理可能只有一个触发输入。每个功能处理在接受到由其触发输入数据移动所移动的一个数据组后，开始进行处理。一个功能处理的所有数据移动的集合是满足其FUR的触发输入所有可能的响应所需的集合。</w:t>
      </w:r>
    </w:p>
    <w:p w14:paraId="67670C3D">
      <w:pPr>
        <w:pStyle w:val="142"/>
        <w:ind w:firstLine="420"/>
        <w:rPr>
          <w:rFonts w:hAnsi="宋体" w:cs="宋体"/>
          <w:szCs w:val="21"/>
        </w:rPr>
      </w:pPr>
      <w:r>
        <w:rPr>
          <w:rFonts w:hint="eastAsia" w:hAnsi="宋体" w:cs="宋体"/>
          <w:szCs w:val="21"/>
        </w:rPr>
        <w:t>子过程描述：即功能过程的拆分。每个功能处理由一系列子过程组成。一个子处理可以是一个数据移动或者数据运算。一个功能过程至少需要包括两个或两个以上子过程描述。</w:t>
      </w:r>
    </w:p>
    <w:p w14:paraId="77B51240">
      <w:pPr>
        <w:pStyle w:val="142"/>
        <w:ind w:firstLine="420"/>
        <w:rPr>
          <w:rFonts w:hAnsi="宋体" w:cs="宋体"/>
          <w:szCs w:val="21"/>
        </w:rPr>
      </w:pPr>
      <w:r>
        <w:rPr>
          <w:rFonts w:hint="eastAsia" w:hAnsi="宋体" w:cs="宋体"/>
          <w:szCs w:val="21"/>
        </w:rPr>
        <w:t>数据移动类型：COSMIC规定的四种数据移动类型。包括：输入（E）输出（X）读（R）写（W），四选一。每个功能过程的数据移动类型的第一步必须是E，最后一步必须是W或者X。</w:t>
      </w:r>
    </w:p>
    <w:p w14:paraId="286A4B23">
      <w:pPr>
        <w:pStyle w:val="142"/>
        <w:ind w:firstLine="420"/>
        <w:rPr>
          <w:rFonts w:hAnsi="宋体" w:cs="宋体"/>
          <w:szCs w:val="21"/>
        </w:rPr>
      </w:pPr>
      <w:r>
        <w:rPr>
          <w:rFonts w:hint="eastAsia" w:hAnsi="宋体" w:cs="宋体"/>
          <w:szCs w:val="21"/>
        </w:rPr>
        <w:t>数据组：数据组是一个唯一的、非空的、无序的数据属性的集合。</w:t>
      </w:r>
    </w:p>
    <w:p w14:paraId="77626BF9">
      <w:pPr>
        <w:pStyle w:val="142"/>
        <w:ind w:firstLine="420"/>
        <w:rPr>
          <w:rFonts w:hAnsi="宋体" w:cs="宋体"/>
          <w:szCs w:val="21"/>
        </w:rPr>
      </w:pPr>
      <w:r>
        <w:rPr>
          <w:rFonts w:hint="eastAsia" w:hAnsi="宋体" w:cs="宋体"/>
          <w:szCs w:val="21"/>
        </w:rPr>
        <w:t>数据属性：一个数据属性是一个已识别的数据组中最小的信息单元，每个数据组一般需要包括三个或三个以上的数据属性。</w:t>
      </w:r>
    </w:p>
    <w:p w14:paraId="0FB69F2A">
      <w:pPr>
        <w:pStyle w:val="142"/>
        <w:ind w:firstLine="420"/>
        <w:rPr>
          <w:rFonts w:hAnsi="宋体" w:cs="宋体"/>
          <w:szCs w:val="21"/>
        </w:rPr>
      </w:pPr>
      <w:r>
        <w:rPr>
          <w:rFonts w:hint="eastAsia" w:hAnsi="宋体" w:cs="宋体"/>
          <w:szCs w:val="21"/>
        </w:rPr>
        <w:t>复用度：表示该功能子过程的复用程度。复用度一般分为三种，即新增、复用和利旧。每一个数据移动表示1个CFP，可根据下拉选项选择。</w:t>
      </w:r>
    </w:p>
    <w:p w14:paraId="498DCEC6">
      <w:pPr>
        <w:pStyle w:val="142"/>
        <w:ind w:firstLine="420"/>
        <w:rPr>
          <w:rFonts w:hAnsi="宋体" w:cs="宋体"/>
          <w:szCs w:val="21"/>
        </w:rPr>
      </w:pPr>
      <w:r>
        <w:rPr>
          <w:rFonts w:hint="eastAsia" w:hAnsi="宋体" w:cs="宋体"/>
          <w:szCs w:val="21"/>
        </w:rPr>
        <w:t>CFP：COSMIC功能点。根据复用度对功能点进行取值，“新增”记1CFP，“复用”记1/3CFP，“利旧”不计入功能点（0CFP）。</w:t>
      </w:r>
    </w:p>
    <w:p w14:paraId="22007CEA">
      <w:pPr>
        <w:pStyle w:val="142"/>
        <w:ind w:firstLine="420"/>
        <w:rPr>
          <w:rFonts w:hAnsi="宋体" w:cs="宋体"/>
          <w:szCs w:val="21"/>
        </w:rPr>
      </w:pPr>
      <m:oMath>
        <m:nary>
          <m:naryPr>
            <m:chr m:val="∑"/>
            <m:limLoc m:val="undOvr"/>
            <m:subHide m:val="1"/>
            <m:supHide m:val="1"/>
            <m:ctrlPr>
              <w:rPr>
                <w:rFonts w:hint="eastAsia" w:ascii="Cambria Math" w:hAnsi="Cambria Math" w:cs="宋体"/>
                <w:szCs w:val="21"/>
              </w:rPr>
            </m:ctrlPr>
          </m:naryPr>
          <m:sub>
            <m:ctrlPr>
              <w:rPr>
                <w:rFonts w:hint="eastAsia" w:ascii="Cambria Math" w:hAnsi="Cambria Math" w:cs="宋体"/>
                <w:szCs w:val="21"/>
              </w:rPr>
            </m:ctrlPr>
          </m:sub>
          <m:sup>
            <m:ctrlPr>
              <w:rPr>
                <w:rFonts w:hint="eastAsia" w:ascii="Cambria Math" w:hAnsi="Cambria Math" w:cs="宋体"/>
                <w:szCs w:val="21"/>
              </w:rPr>
            </m:ctrlPr>
          </m:sup>
          <m:e>
            <m:r>
              <m:rPr>
                <m:sty m:val="p"/>
              </m:rPr>
              <w:rPr>
                <w:rFonts w:hint="eastAsia" w:ascii="Cambria Math" w:hAnsi="Cambria Math" w:cs="宋体"/>
                <w:szCs w:val="21"/>
              </w:rPr>
              <m:t>CFP</m:t>
            </m:r>
            <m:ctrlPr>
              <w:rPr>
                <w:rFonts w:hint="eastAsia" w:ascii="Cambria Math" w:hAnsi="Cambria Math" w:cs="宋体"/>
                <w:szCs w:val="21"/>
              </w:rPr>
            </m:ctrlPr>
          </m:e>
        </m:nary>
      </m:oMath>
      <w:r>
        <w:rPr>
          <w:rFonts w:hint="eastAsia" w:hAnsi="宋体" w:cs="宋体"/>
          <w:szCs w:val="21"/>
        </w:rPr>
        <w:t>：未调整的COSMIC功能点之和。</w:t>
      </w:r>
    </w:p>
    <w:p w14:paraId="211942E9">
      <w:r>
        <w:rPr>
          <w:szCs w:val="21"/>
        </w:rPr>
        <w:br w:type="page"/>
      </w:r>
    </w:p>
    <w:p w14:paraId="3D0820DB">
      <w:pPr>
        <w:pStyle w:val="98"/>
        <w:numPr>
          <w:ilvl w:val="0"/>
          <w:numId w:val="0"/>
        </w:numPr>
        <w:jc w:val="both"/>
        <w:outlineLvl w:val="9"/>
        <w:rPr>
          <w:color w:val="auto"/>
        </w:rPr>
      </w:pPr>
    </w:p>
    <w:p w14:paraId="10EA9490">
      <w:pPr>
        <w:pStyle w:val="86"/>
        <w:numPr>
          <w:ilvl w:val="0"/>
          <w:numId w:val="0"/>
        </w:numPr>
        <w:ind w:left="811" w:hanging="448"/>
        <w:outlineLvl w:val="9"/>
        <w:rPr>
          <w:color w:val="auto"/>
        </w:rPr>
      </w:pPr>
    </w:p>
    <w:p w14:paraId="4AA56AE8">
      <w:pPr>
        <w:pStyle w:val="84"/>
        <w:keepNext/>
        <w:keepLines w:val="0"/>
        <w:pageBreakBefore w:val="0"/>
        <w:widowControl/>
        <w:numPr>
          <w:ilvl w:val="0"/>
          <w:numId w:val="0"/>
        </w:numPr>
        <w:shd w:val="clear" w:color="FFFFFF" w:fill="FFFFFF"/>
        <w:tabs>
          <w:tab w:val="clear" w:pos="360"/>
        </w:tabs>
        <w:kinsoku/>
        <w:wordWrap/>
        <w:overflowPunct/>
        <w:topLinePunct w:val="0"/>
        <w:autoSpaceDE/>
        <w:autoSpaceDN/>
        <w:bidi w:val="0"/>
        <w:adjustRightInd/>
        <w:snapToGrid/>
        <w:spacing w:before="0" w:after="0"/>
        <w:textAlignment w:val="auto"/>
        <w:rPr>
          <w:rFonts w:hint="eastAsia" w:hAnsi="Times New Roman" w:cs="Times New Roman"/>
        </w:rPr>
      </w:pPr>
      <w:bookmarkStart w:id="87" w:name="_Toc23857"/>
      <w:r>
        <w:rPr>
          <w:rFonts w:hint="eastAsia" w:hAnsi="Times New Roman" w:cs="Times New Roman"/>
        </w:rPr>
        <w:br w:type="textWrapping"/>
      </w:r>
      <w:r>
        <w:rPr>
          <w:rFonts w:hint="eastAsia" w:hAnsi="Times New Roman" w:cs="Times New Roman"/>
        </w:rPr>
        <w:t>附　录　C</w:t>
      </w:r>
      <w:r>
        <w:rPr>
          <w:rFonts w:hint="eastAsia" w:hAnsi="Times New Roman" w:cs="Times New Roman"/>
        </w:rPr>
        <w:br w:type="textWrapping"/>
      </w:r>
      <w:bookmarkStart w:id="88" w:name="_Toc168328411"/>
      <w:bookmarkStart w:id="89" w:name="_Toc166672676"/>
      <w:r>
        <w:rPr>
          <w:rFonts w:hint="eastAsia" w:hAnsi="Times New Roman" w:cs="Times New Roman"/>
        </w:rPr>
        <w:t>（资料性）</w:t>
      </w:r>
      <w:r>
        <w:rPr>
          <w:rFonts w:hint="eastAsia" w:hAnsi="Times New Roman" w:cs="Times New Roman"/>
        </w:rPr>
        <w:br w:type="textWrapping"/>
      </w:r>
      <w:bookmarkEnd w:id="87"/>
      <w:bookmarkEnd w:id="88"/>
      <w:bookmarkEnd w:id="89"/>
      <w:r>
        <w:rPr>
          <w:rFonts w:hint="eastAsia" w:hAnsi="Times New Roman" w:cs="Times New Roman"/>
        </w:rPr>
        <w:t>评估报告</w:t>
      </w: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70"/>
      </w:tblGrid>
      <w:tr w14:paraId="7ECF7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70" w:type="dxa"/>
          </w:tcPr>
          <w:p w14:paraId="60784D67">
            <w:pPr>
              <w:autoSpaceDE w:val="0"/>
              <w:autoSpaceDN w:val="0"/>
              <w:spacing w:before="55" w:line="374" w:lineRule="auto"/>
              <w:ind w:left="3370" w:right="3369"/>
              <w:jc w:val="center"/>
              <w:rPr>
                <w:rFonts w:ascii="宋体" w:hAnsi="宋体" w:cs="宋体"/>
                <w:b/>
                <w:spacing w:val="-2"/>
                <w:kern w:val="0"/>
                <w:sz w:val="32"/>
                <w:szCs w:val="22"/>
              </w:rPr>
            </w:pPr>
          </w:p>
          <w:p w14:paraId="3D2C58F9">
            <w:pPr>
              <w:autoSpaceDE w:val="0"/>
              <w:autoSpaceDN w:val="0"/>
              <w:spacing w:before="55" w:line="374" w:lineRule="auto"/>
              <w:ind w:left="3370" w:right="3369"/>
              <w:jc w:val="center"/>
              <w:rPr>
                <w:rFonts w:ascii="宋体" w:hAnsi="宋体" w:cs="宋体"/>
                <w:b/>
                <w:spacing w:val="-2"/>
                <w:kern w:val="0"/>
                <w:sz w:val="32"/>
                <w:szCs w:val="22"/>
              </w:rPr>
            </w:pPr>
          </w:p>
          <w:p w14:paraId="01E4803A">
            <w:pPr>
              <w:autoSpaceDE w:val="0"/>
              <w:autoSpaceDN w:val="0"/>
              <w:spacing w:before="55" w:line="374" w:lineRule="auto"/>
              <w:ind w:left="3370" w:right="3369"/>
              <w:jc w:val="center"/>
              <w:rPr>
                <w:rFonts w:ascii="宋体" w:hAnsi="宋体" w:cs="宋体"/>
                <w:b/>
                <w:spacing w:val="-2"/>
                <w:kern w:val="0"/>
                <w:sz w:val="32"/>
                <w:szCs w:val="22"/>
              </w:rPr>
            </w:pPr>
          </w:p>
          <w:p w14:paraId="390FD9AF">
            <w:pPr>
              <w:autoSpaceDE w:val="0"/>
              <w:autoSpaceDN w:val="0"/>
              <w:spacing w:before="55" w:line="374" w:lineRule="auto"/>
              <w:ind w:left="3370" w:right="3369"/>
              <w:jc w:val="center"/>
              <w:rPr>
                <w:rFonts w:ascii="宋体" w:hAnsi="宋体" w:cs="宋体"/>
                <w:b/>
                <w:kern w:val="0"/>
                <w:sz w:val="32"/>
                <w:szCs w:val="22"/>
              </w:rPr>
            </w:pPr>
            <w:r>
              <w:rPr>
                <w:rFonts w:ascii="宋体" w:hAnsi="宋体" w:cs="宋体"/>
                <w:b/>
                <w:spacing w:val="-2"/>
                <w:kern w:val="0"/>
                <w:sz w:val="32"/>
                <w:szCs w:val="22"/>
              </w:rPr>
              <w:t>软件</w:t>
            </w:r>
            <w:r>
              <w:rPr>
                <w:rFonts w:hint="eastAsia" w:ascii="宋体" w:hAnsi="宋体" w:cs="宋体"/>
                <w:b/>
                <w:spacing w:val="-2"/>
                <w:kern w:val="0"/>
                <w:sz w:val="32"/>
                <w:szCs w:val="22"/>
              </w:rPr>
              <w:t>度量</w:t>
            </w:r>
            <w:r>
              <w:rPr>
                <w:rFonts w:ascii="宋体" w:hAnsi="宋体" w:cs="宋体"/>
                <w:b/>
                <w:spacing w:val="-2"/>
                <w:kern w:val="0"/>
                <w:sz w:val="32"/>
                <w:szCs w:val="22"/>
              </w:rPr>
              <w:t>报告</w:t>
            </w:r>
          </w:p>
          <w:p w14:paraId="5CAE3D51">
            <w:pPr>
              <w:autoSpaceDE w:val="0"/>
              <w:autoSpaceDN w:val="0"/>
              <w:jc w:val="left"/>
              <w:rPr>
                <w:rFonts w:ascii="宋体" w:hAnsi="宋体" w:cs="宋体"/>
                <w:b/>
                <w:kern w:val="0"/>
                <w:sz w:val="32"/>
              </w:rPr>
            </w:pPr>
          </w:p>
          <w:p w14:paraId="11ED657E">
            <w:pPr>
              <w:autoSpaceDE w:val="0"/>
              <w:autoSpaceDN w:val="0"/>
              <w:jc w:val="left"/>
              <w:rPr>
                <w:rFonts w:ascii="宋体" w:hAnsi="宋体" w:cs="宋体"/>
                <w:b/>
                <w:kern w:val="0"/>
                <w:sz w:val="32"/>
              </w:rPr>
            </w:pPr>
          </w:p>
          <w:p w14:paraId="4C49CB80">
            <w:pPr>
              <w:autoSpaceDE w:val="0"/>
              <w:autoSpaceDN w:val="0"/>
              <w:jc w:val="left"/>
              <w:rPr>
                <w:rFonts w:ascii="宋体" w:hAnsi="宋体" w:cs="宋体"/>
                <w:b/>
                <w:kern w:val="0"/>
                <w:sz w:val="32"/>
              </w:rPr>
            </w:pPr>
          </w:p>
          <w:p w14:paraId="0A8865A2">
            <w:pPr>
              <w:autoSpaceDE w:val="0"/>
              <w:autoSpaceDN w:val="0"/>
              <w:jc w:val="left"/>
              <w:rPr>
                <w:rFonts w:ascii="宋体" w:hAnsi="宋体" w:cs="宋体"/>
                <w:b/>
                <w:kern w:val="0"/>
                <w:sz w:val="32"/>
              </w:rPr>
            </w:pPr>
          </w:p>
          <w:p w14:paraId="673281C2">
            <w:pPr>
              <w:pStyle w:val="9"/>
              <w:rPr>
                <w:rFonts w:ascii="宋体" w:hAnsi="宋体" w:cs="宋体"/>
                <w:b/>
                <w:kern w:val="0"/>
                <w:sz w:val="32"/>
              </w:rPr>
            </w:pPr>
          </w:p>
          <w:p w14:paraId="57179A40">
            <w:pPr>
              <w:pStyle w:val="10"/>
              <w:rPr>
                <w:rFonts w:ascii="宋体" w:hAnsi="宋体" w:cs="宋体"/>
                <w:b/>
                <w:kern w:val="0"/>
                <w:sz w:val="32"/>
              </w:rPr>
            </w:pPr>
          </w:p>
          <w:p w14:paraId="275DF478">
            <w:pPr>
              <w:pStyle w:val="10"/>
              <w:rPr>
                <w:rFonts w:ascii="宋体" w:hAnsi="宋体" w:cs="宋体"/>
                <w:b/>
                <w:kern w:val="0"/>
                <w:sz w:val="32"/>
              </w:rPr>
            </w:pPr>
          </w:p>
          <w:p w14:paraId="51BA688C">
            <w:pPr>
              <w:pStyle w:val="10"/>
              <w:rPr>
                <w:rFonts w:ascii="宋体" w:hAnsi="宋体" w:cs="宋体"/>
                <w:b/>
                <w:kern w:val="0"/>
                <w:sz w:val="32"/>
              </w:rPr>
            </w:pPr>
          </w:p>
          <w:p w14:paraId="43B9FB6C">
            <w:pPr>
              <w:autoSpaceDE w:val="0"/>
              <w:autoSpaceDN w:val="0"/>
              <w:spacing w:line="360" w:lineRule="auto"/>
              <w:ind w:left="1519"/>
              <w:jc w:val="left"/>
              <w:rPr>
                <w:rFonts w:ascii="宋体" w:hAnsi="宋体" w:cs="宋体"/>
                <w:b/>
                <w:kern w:val="0"/>
                <w:sz w:val="30"/>
                <w:szCs w:val="30"/>
              </w:rPr>
            </w:pPr>
            <w:r>
              <w:rPr>
                <w:rFonts w:ascii="宋体" w:hAnsi="宋体" w:cs="宋体"/>
                <w:b/>
                <w:w w:val="95"/>
                <w:kern w:val="0"/>
                <w:sz w:val="30"/>
                <w:szCs w:val="30"/>
              </w:rPr>
              <w:t>项目编号：</w:t>
            </w:r>
          </w:p>
          <w:p w14:paraId="732F8487">
            <w:pPr>
              <w:autoSpaceDE w:val="0"/>
              <w:autoSpaceDN w:val="0"/>
              <w:spacing w:line="360" w:lineRule="auto"/>
              <w:ind w:left="1519" w:right="1219"/>
              <w:jc w:val="left"/>
              <w:rPr>
                <w:rFonts w:ascii="宋体" w:hAnsi="宋体" w:cs="宋体"/>
                <w:b/>
                <w:kern w:val="0"/>
                <w:sz w:val="30"/>
                <w:szCs w:val="30"/>
              </w:rPr>
            </w:pPr>
            <w:r>
              <w:rPr>
                <w:rFonts w:hint="eastAsia" w:ascii="宋体" w:hAnsi="宋体" w:cs="宋体"/>
                <w:b/>
                <w:spacing w:val="-1"/>
                <w:w w:val="99"/>
                <w:kern w:val="0"/>
                <w:sz w:val="30"/>
                <w:szCs w:val="30"/>
              </w:rPr>
              <w:t>委托</w:t>
            </w:r>
            <w:r>
              <w:rPr>
                <w:rFonts w:ascii="宋体" w:hAnsi="宋体" w:cs="宋体"/>
                <w:b/>
                <w:spacing w:val="-1"/>
                <w:w w:val="99"/>
                <w:kern w:val="0"/>
                <w:sz w:val="30"/>
                <w:szCs w:val="30"/>
              </w:rPr>
              <w:t xml:space="preserve">单位：                              </w:t>
            </w:r>
          </w:p>
          <w:p w14:paraId="7402DB62">
            <w:pPr>
              <w:autoSpaceDE w:val="0"/>
              <w:autoSpaceDN w:val="0"/>
              <w:spacing w:before="1" w:line="360" w:lineRule="auto"/>
              <w:ind w:left="1519" w:right="4739"/>
              <w:jc w:val="left"/>
              <w:rPr>
                <w:rFonts w:ascii="宋体" w:hAnsi="宋体" w:cs="宋体"/>
                <w:b/>
                <w:kern w:val="0"/>
                <w:sz w:val="30"/>
                <w:szCs w:val="30"/>
              </w:rPr>
            </w:pPr>
            <w:r>
              <w:rPr>
                <w:rFonts w:hint="eastAsia" w:ascii="宋体" w:hAnsi="宋体" w:cs="宋体"/>
                <w:b/>
                <w:spacing w:val="-1"/>
                <w:w w:val="99"/>
                <w:kern w:val="0"/>
                <w:sz w:val="30"/>
                <w:szCs w:val="30"/>
              </w:rPr>
              <w:t>评估</w:t>
            </w:r>
            <w:r>
              <w:rPr>
                <w:rFonts w:ascii="宋体" w:hAnsi="宋体" w:cs="宋体"/>
                <w:b/>
                <w:spacing w:val="-1"/>
                <w:w w:val="99"/>
                <w:kern w:val="0"/>
                <w:sz w:val="30"/>
                <w:szCs w:val="30"/>
              </w:rPr>
              <w:t xml:space="preserve">单位：                              </w:t>
            </w:r>
          </w:p>
          <w:p w14:paraId="0CA97258">
            <w:pPr>
              <w:autoSpaceDE w:val="0"/>
              <w:autoSpaceDN w:val="0"/>
              <w:spacing w:line="360" w:lineRule="auto"/>
              <w:ind w:left="1519"/>
              <w:jc w:val="left"/>
              <w:rPr>
                <w:rFonts w:ascii="宋体" w:hAnsi="宋体" w:cs="宋体"/>
                <w:b/>
                <w:w w:val="95"/>
                <w:kern w:val="0"/>
                <w:sz w:val="32"/>
                <w:szCs w:val="22"/>
              </w:rPr>
            </w:pPr>
            <w:r>
              <w:rPr>
                <w:rFonts w:hint="eastAsia" w:ascii="宋体" w:hAnsi="宋体" w:cs="宋体"/>
                <w:b/>
                <w:w w:val="95"/>
                <w:kern w:val="0"/>
                <w:sz w:val="30"/>
                <w:szCs w:val="30"/>
              </w:rPr>
              <w:t>度量</w:t>
            </w:r>
            <w:r>
              <w:rPr>
                <w:rFonts w:ascii="宋体" w:hAnsi="宋体" w:cs="宋体"/>
                <w:b/>
                <w:w w:val="95"/>
                <w:kern w:val="0"/>
                <w:sz w:val="30"/>
                <w:szCs w:val="30"/>
              </w:rPr>
              <w:t>时间：</w:t>
            </w:r>
          </w:p>
          <w:p w14:paraId="01A6621D">
            <w:pPr>
              <w:pStyle w:val="142"/>
              <w:spacing w:line="360" w:lineRule="auto"/>
              <w:ind w:firstLine="422"/>
              <w:jc w:val="center"/>
              <w:rPr>
                <w:b/>
                <w:bCs/>
                <w:szCs w:val="18"/>
              </w:rPr>
            </w:pPr>
          </w:p>
          <w:p w14:paraId="735EE740">
            <w:pPr>
              <w:pStyle w:val="142"/>
              <w:spacing w:line="360" w:lineRule="auto"/>
              <w:ind w:left="0" w:leftChars="0" w:firstLine="0" w:firstLineChars="0"/>
              <w:jc w:val="both"/>
              <w:rPr>
                <w:b/>
                <w:bCs/>
                <w:szCs w:val="18"/>
              </w:rPr>
            </w:pPr>
          </w:p>
        </w:tc>
      </w:tr>
    </w:tbl>
    <w:p w14:paraId="6024ED3D">
      <w:pPr>
        <w:pStyle w:val="142"/>
        <w:spacing w:line="360" w:lineRule="auto"/>
        <w:ind w:firstLine="0" w:firstLineChars="0"/>
        <w:jc w:val="center"/>
        <w:rPr>
          <w:b/>
          <w:bCs/>
        </w:rPr>
      </w:pP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4"/>
      </w:tblGrid>
      <w:tr w14:paraId="558FB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2" w:hRule="atLeast"/>
        </w:trPr>
        <w:tc>
          <w:tcPr>
            <w:tcW w:w="9354" w:type="dxa"/>
          </w:tcPr>
          <w:p w14:paraId="6DA39CAC">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1 责任声明</w:t>
            </w:r>
          </w:p>
          <w:p w14:paraId="07679734">
            <w:pPr>
              <w:pStyle w:val="32"/>
              <w:spacing w:after="0" w:line="240" w:lineRule="auto"/>
              <w:ind w:firstLine="201"/>
              <w:rPr>
                <w:rFonts w:ascii="宋体" w:hAnsi="宋体" w:cs="宋体"/>
                <w:szCs w:val="21"/>
              </w:rPr>
            </w:pPr>
            <w:r>
              <w:rPr>
                <w:rFonts w:ascii="宋体"/>
                <w:b/>
                <w:bCs/>
                <w:w w:val="95"/>
                <w:kern w:val="0"/>
                <w:szCs w:val="21"/>
              </w:rPr>
              <w:t xml:space="preserve">  </w:t>
            </w:r>
            <w:r>
              <w:rPr>
                <w:rFonts w:hint="eastAsia" w:ascii="宋体" w:hAnsi="宋体" w:cs="宋体"/>
                <w:szCs w:val="21"/>
              </w:rPr>
              <w:t>评估声明，包括评估人员资质、评估责任范围等，示例如下。</w:t>
            </w:r>
          </w:p>
          <w:p w14:paraId="1BC89809">
            <w:pPr>
              <w:pStyle w:val="143"/>
              <w:widowControl/>
              <w:autoSpaceDE/>
              <w:autoSpaceDN/>
              <w:spacing w:before="0" w:line="240" w:lineRule="auto"/>
              <w:ind w:left="0" w:firstLine="420"/>
              <w:rPr>
                <w:sz w:val="21"/>
                <w:szCs w:val="21"/>
              </w:rPr>
            </w:pPr>
            <w:r>
              <w:rPr>
                <w:rFonts w:hint="eastAsia"/>
                <w:sz w:val="21"/>
                <w:szCs w:val="21"/>
              </w:rPr>
              <w:t>1）本评估报告由评估单位的专家所出具，专家持有工业和信息化部教育与考试中心颁发的软件工程造价师证书或同等技能效力的专业证书。</w:t>
            </w:r>
          </w:p>
          <w:p w14:paraId="24CD2A5E">
            <w:pPr>
              <w:pStyle w:val="143"/>
              <w:widowControl/>
              <w:autoSpaceDE/>
              <w:autoSpaceDN/>
              <w:spacing w:before="0" w:line="240" w:lineRule="auto"/>
              <w:ind w:left="0" w:firstLine="420"/>
              <w:rPr>
                <w:sz w:val="21"/>
                <w:szCs w:val="21"/>
              </w:rPr>
            </w:pPr>
            <w:r>
              <w:rPr>
                <w:rFonts w:hint="eastAsia"/>
                <w:sz w:val="21"/>
                <w:szCs w:val="21"/>
              </w:rPr>
              <w:t>2）经持证的软件工程造价评估专家，恪守独立、客观、公正的原则，遵循国家有关法律、法规和评估相关标准、准则的规定，履行了相关的评估程序，提出本评估报告书。</w:t>
            </w:r>
          </w:p>
          <w:p w14:paraId="59E537D5">
            <w:pPr>
              <w:pStyle w:val="143"/>
              <w:widowControl/>
              <w:autoSpaceDE/>
              <w:autoSpaceDN/>
              <w:spacing w:before="0" w:line="240" w:lineRule="auto"/>
              <w:ind w:left="0" w:firstLine="420"/>
              <w:rPr>
                <w:sz w:val="21"/>
                <w:szCs w:val="21"/>
              </w:rPr>
            </w:pPr>
            <w:r>
              <w:rPr>
                <w:rFonts w:hint="eastAsia"/>
                <w:sz w:val="21"/>
                <w:szCs w:val="21"/>
              </w:rPr>
              <w:t>3）本评估报告书及其评估结论是在委托方所提供的资料的基础上得出的，以本报告“需求分析与确认”为前提，度量结论仅限定于“需求来源”范围内，评估资料的真实性、合法性、完整性由委托方负责，若因委托方提供资料的失实、缺失所导致评估结果失真而引起的责任，不属于评估单位及评估专家的责任范围。</w:t>
            </w:r>
          </w:p>
          <w:p w14:paraId="036B5ECE">
            <w:pPr>
              <w:pStyle w:val="143"/>
              <w:widowControl/>
              <w:autoSpaceDE/>
              <w:autoSpaceDN/>
              <w:spacing w:before="0" w:line="240" w:lineRule="auto"/>
              <w:ind w:left="0" w:firstLine="420"/>
              <w:rPr>
                <w:sz w:val="21"/>
                <w:szCs w:val="21"/>
              </w:rPr>
            </w:pPr>
            <w:r>
              <w:rPr>
                <w:rFonts w:hint="eastAsia"/>
                <w:sz w:val="21"/>
                <w:szCs w:val="21"/>
              </w:rPr>
              <w:t>4）本评估报告书及度量结果仅限于委托单位使用，报告的全部或部分内容不得提供给其他任何单位和个人，不得见诸于公开媒体。</w:t>
            </w:r>
          </w:p>
          <w:p w14:paraId="638D8CE2">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bookmarkStart w:id="90" w:name="_Toc32029"/>
            <w:r>
              <w:rPr>
                <w:rFonts w:hint="eastAsia" w:ascii="黑体" w:hAnsi="黑体" w:eastAsia="黑体" w:cs="黑体"/>
                <w:bCs/>
                <w:kern w:val="44"/>
                <w:szCs w:val="21"/>
              </w:rPr>
              <w:t xml:space="preserve">2 </w:t>
            </w:r>
            <w:bookmarkEnd w:id="90"/>
            <w:r>
              <w:rPr>
                <w:rFonts w:hint="eastAsia" w:ascii="黑体" w:hAnsi="黑体" w:eastAsia="黑体" w:cs="黑体"/>
                <w:bCs/>
                <w:kern w:val="44"/>
                <w:szCs w:val="21"/>
              </w:rPr>
              <w:t>度量概况</w:t>
            </w:r>
          </w:p>
          <w:p w14:paraId="30406886">
            <w:pPr>
              <w:pStyle w:val="9"/>
              <w:spacing w:after="0" w:line="240" w:lineRule="auto"/>
              <w:ind w:firstLine="420" w:firstLineChars="200"/>
              <w:rPr>
                <w:rFonts w:ascii="宋体"/>
                <w:kern w:val="0"/>
                <w:szCs w:val="21"/>
              </w:rPr>
            </w:pPr>
            <w:r>
              <w:rPr>
                <w:rFonts w:ascii="宋体"/>
                <w:szCs w:val="21"/>
              </w:rPr>
              <w:t>项目的总体情况介绍，包括项目背景、</w:t>
            </w:r>
            <w:r>
              <w:rPr>
                <w:rFonts w:hint="eastAsia" w:ascii="宋体"/>
                <w:szCs w:val="21"/>
              </w:rPr>
              <w:t>项目度量</w:t>
            </w:r>
            <w:r>
              <w:rPr>
                <w:rFonts w:ascii="宋体"/>
                <w:szCs w:val="21"/>
              </w:rPr>
              <w:t xml:space="preserve">范围等。    </w:t>
            </w:r>
          </w:p>
          <w:p w14:paraId="39A79F76">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color w:val="auto"/>
                <w:kern w:val="44"/>
                <w:szCs w:val="21"/>
              </w:rPr>
            </w:pPr>
            <w:bookmarkStart w:id="91" w:name="_Toc16348"/>
            <w:r>
              <w:rPr>
                <w:rFonts w:hint="eastAsia" w:ascii="黑体" w:hAnsi="黑体" w:eastAsia="黑体" w:cs="黑体"/>
                <w:bCs/>
                <w:color w:val="auto"/>
                <w:kern w:val="44"/>
                <w:szCs w:val="21"/>
              </w:rPr>
              <w:t>3 评估依据</w:t>
            </w:r>
            <w:bookmarkEnd w:id="91"/>
          </w:p>
          <w:p w14:paraId="5B874F5B">
            <w:pPr>
              <w:pStyle w:val="32"/>
              <w:spacing w:after="0" w:line="240" w:lineRule="auto"/>
              <w:ind w:firstLineChars="200"/>
              <w:rPr>
                <w:rFonts w:ascii="宋体"/>
                <w:color w:val="auto"/>
                <w:szCs w:val="21"/>
              </w:rPr>
            </w:pPr>
            <w:r>
              <w:rPr>
                <w:rFonts w:ascii="宋体"/>
                <w:color w:val="auto"/>
                <w:szCs w:val="21"/>
              </w:rPr>
              <w:t>评估过程依据的理论基础，包括相应的国家标准、行业标准、基准报告及相关手册等，示例如下。</w:t>
            </w:r>
          </w:p>
          <w:p w14:paraId="2D93C98D">
            <w:pPr>
              <w:autoSpaceDE w:val="0"/>
              <w:autoSpaceDN w:val="0"/>
              <w:spacing w:line="240" w:lineRule="auto"/>
              <w:ind w:firstLine="412" w:firstLineChars="200"/>
              <w:jc w:val="left"/>
              <w:rPr>
                <w:rFonts w:ascii="宋体"/>
                <w:color w:val="auto"/>
                <w:spacing w:val="-2"/>
                <w:kern w:val="0"/>
                <w:szCs w:val="21"/>
              </w:rPr>
            </w:pPr>
            <w:r>
              <w:rPr>
                <w:rFonts w:ascii="宋体"/>
                <w:color w:val="auto"/>
                <w:spacing w:val="-2"/>
                <w:kern w:val="0"/>
                <w:szCs w:val="21"/>
              </w:rPr>
              <w:t>本报告中软件功能规模度量、软件开发工作量的主要原则、方法、过程依据的主要国际、国内标准以及IT咨询相关理论基础如下：</w:t>
            </w:r>
          </w:p>
          <w:p w14:paraId="5D57841C">
            <w:pPr>
              <w:numPr>
                <w:ilvl w:val="0"/>
                <w:numId w:val="23"/>
              </w:numPr>
              <w:autoSpaceDE w:val="0"/>
              <w:autoSpaceDN w:val="0"/>
              <w:spacing w:line="240" w:lineRule="auto"/>
              <w:ind w:firstLine="420" w:firstLineChars="200"/>
              <w:jc w:val="left"/>
              <w:rPr>
                <w:rFonts w:ascii="宋体"/>
                <w:color w:val="auto"/>
                <w:spacing w:val="-2"/>
                <w:kern w:val="0"/>
                <w:szCs w:val="21"/>
              </w:rPr>
            </w:pPr>
            <w:r>
              <w:rPr>
                <w:rFonts w:ascii="宋体"/>
                <w:color w:val="auto"/>
                <w:kern w:val="0"/>
                <w:szCs w:val="21"/>
              </w:rPr>
              <w:t>《软件工程 软件开发成本度量规范》（GB/T 36964-</w:t>
            </w:r>
            <w:r>
              <w:rPr>
                <w:rFonts w:ascii="宋体"/>
                <w:color w:val="auto"/>
                <w:spacing w:val="-2"/>
                <w:kern w:val="0"/>
                <w:szCs w:val="21"/>
              </w:rPr>
              <w:t>2018）</w:t>
            </w:r>
          </w:p>
          <w:p w14:paraId="68EB5600">
            <w:pPr>
              <w:numPr>
                <w:ilvl w:val="0"/>
                <w:numId w:val="23"/>
              </w:numPr>
              <w:autoSpaceDE w:val="0"/>
              <w:autoSpaceDN w:val="0"/>
              <w:spacing w:line="240" w:lineRule="auto"/>
              <w:ind w:firstLine="420" w:firstLineChars="200"/>
              <w:jc w:val="left"/>
              <w:rPr>
                <w:rFonts w:ascii="宋体"/>
                <w:color w:val="auto"/>
                <w:spacing w:val="-2"/>
                <w:kern w:val="0"/>
                <w:szCs w:val="21"/>
              </w:rPr>
            </w:pPr>
            <w:r>
              <w:rPr>
                <w:rFonts w:hint="eastAsia" w:ascii="宋体" w:cs="Times New Roman"/>
                <w:color w:val="auto"/>
                <w:lang w:val="en-US" w:eastAsia="zh-CN"/>
              </w:rPr>
              <w:t>《</w:t>
            </w:r>
            <w:r>
              <w:rPr>
                <w:rFonts w:hint="eastAsia" w:ascii="宋体" w:hAnsi="Times New Roman" w:eastAsia="宋体" w:cs="Times New Roman"/>
                <w:color w:val="auto"/>
                <w:lang w:val="en-US" w:eastAsia="zh-CN"/>
              </w:rPr>
              <w:t>系统与软件工程</w:t>
            </w:r>
            <w:r>
              <w:rPr>
                <w:rFonts w:hint="eastAsia" w:ascii="宋体" w:cs="Times New Roman"/>
                <w:color w:val="auto"/>
                <w:lang w:val="en-US" w:eastAsia="zh-CN"/>
              </w:rPr>
              <w:t xml:space="preserve"> </w:t>
            </w:r>
            <w:r>
              <w:rPr>
                <w:rFonts w:hint="eastAsia" w:ascii="宋体" w:hAnsi="Times New Roman" w:eastAsia="宋体" w:cs="Times New Roman"/>
                <w:color w:val="auto"/>
                <w:lang w:val="en-US" w:eastAsia="zh-CN"/>
              </w:rPr>
              <w:t>功能规模测量</w:t>
            </w:r>
            <w:r>
              <w:rPr>
                <w:rFonts w:hint="eastAsia" w:ascii="宋体" w:cs="Times New Roman"/>
                <w:color w:val="auto"/>
                <w:lang w:val="en-US" w:eastAsia="zh-CN"/>
              </w:rPr>
              <w:t xml:space="preserve"> </w:t>
            </w:r>
            <w:r>
              <w:rPr>
                <w:rFonts w:hint="eastAsia" w:ascii="宋体" w:hAnsi="Times New Roman" w:eastAsia="宋体" w:cs="Times New Roman"/>
                <w:color w:val="auto"/>
                <w:lang w:val="en-US" w:eastAsia="zh-CN"/>
              </w:rPr>
              <w:t>COSMIC方法</w:t>
            </w:r>
            <w:r>
              <w:rPr>
                <w:rFonts w:hint="eastAsia" w:ascii="宋体" w:cs="Times New Roman"/>
                <w:color w:val="auto"/>
                <w:lang w:val="en-US" w:eastAsia="zh-CN"/>
              </w:rPr>
              <w:t>》</w:t>
            </w:r>
            <w:r>
              <w:rPr>
                <w:rFonts w:ascii="宋体"/>
                <w:color w:val="auto"/>
                <w:kern w:val="0"/>
                <w:szCs w:val="21"/>
              </w:rPr>
              <w:t>（</w:t>
            </w:r>
            <w:r>
              <w:rPr>
                <w:rFonts w:hint="eastAsia" w:ascii="宋体" w:hAnsi="Times New Roman" w:eastAsia="宋体" w:cs="Times New Roman"/>
                <w:color w:val="auto"/>
                <w:lang w:val="en-US" w:eastAsia="zh-CN"/>
              </w:rPr>
              <w:t>GB/T 42452-2023</w:t>
            </w:r>
            <w:r>
              <w:rPr>
                <w:rFonts w:ascii="宋体"/>
                <w:color w:val="auto"/>
                <w:spacing w:val="-2"/>
                <w:kern w:val="0"/>
                <w:szCs w:val="21"/>
              </w:rPr>
              <w:t>）</w:t>
            </w:r>
            <w:r>
              <w:rPr>
                <w:rFonts w:hint="eastAsia" w:ascii="宋体" w:eastAsia="宋体" w:cs="Times New Roman"/>
                <w:color w:val="auto"/>
                <w:lang w:val="en-US" w:eastAsia="zh-CN"/>
              </w:rPr>
              <w:t xml:space="preserve"> </w:t>
            </w:r>
          </w:p>
          <w:p w14:paraId="2004C175">
            <w:pPr>
              <w:tabs>
                <w:tab w:val="left" w:pos="1160"/>
              </w:tabs>
              <w:autoSpaceDE w:val="0"/>
              <w:autoSpaceDN w:val="0"/>
              <w:spacing w:line="240" w:lineRule="auto"/>
              <w:ind w:left="420"/>
              <w:jc w:val="left"/>
              <w:rPr>
                <w:rFonts w:ascii="宋体"/>
                <w:color w:val="auto"/>
                <w:kern w:val="0"/>
                <w:szCs w:val="21"/>
              </w:rPr>
            </w:pPr>
            <w:r>
              <w:rPr>
                <w:rFonts w:hint="eastAsia" w:ascii="宋体"/>
                <w:color w:val="auto"/>
                <w:kern w:val="0"/>
                <w:szCs w:val="21"/>
                <w:lang w:val="en-US" w:eastAsia="zh-CN"/>
              </w:rPr>
              <w:t>3</w:t>
            </w:r>
            <w:r>
              <w:rPr>
                <w:rFonts w:hint="eastAsia" w:ascii="宋体"/>
                <w:color w:val="auto"/>
                <w:kern w:val="0"/>
                <w:szCs w:val="21"/>
              </w:rPr>
              <w:t>）</w:t>
            </w:r>
            <w:r>
              <w:rPr>
                <w:rFonts w:ascii="宋体"/>
                <w:color w:val="auto"/>
                <w:kern w:val="0"/>
                <w:szCs w:val="21"/>
              </w:rPr>
              <w:t>《COSMIC软件度量手册》（ISO/IEC 19761:2020 ）（5.0版本）</w:t>
            </w:r>
          </w:p>
          <w:p w14:paraId="1C057F39">
            <w:pPr>
              <w:tabs>
                <w:tab w:val="left" w:pos="1160"/>
              </w:tabs>
              <w:autoSpaceDE w:val="0"/>
              <w:autoSpaceDN w:val="0"/>
              <w:spacing w:line="240" w:lineRule="auto"/>
              <w:ind w:left="420"/>
              <w:jc w:val="left"/>
              <w:rPr>
                <w:rFonts w:ascii="宋体"/>
                <w:color w:val="auto"/>
                <w:kern w:val="0"/>
                <w:szCs w:val="21"/>
              </w:rPr>
            </w:pPr>
            <w:r>
              <w:rPr>
                <w:rFonts w:hint="eastAsia" w:ascii="宋体"/>
                <w:color w:val="auto"/>
                <w:kern w:val="0"/>
                <w:szCs w:val="21"/>
                <w:lang w:val="en-US" w:eastAsia="zh-CN"/>
              </w:rPr>
              <w:t>4</w:t>
            </w:r>
            <w:r>
              <w:rPr>
                <w:rFonts w:hint="eastAsia" w:ascii="宋体"/>
                <w:color w:val="auto"/>
                <w:kern w:val="0"/>
                <w:szCs w:val="21"/>
              </w:rPr>
              <w:t>）</w:t>
            </w:r>
            <w:r>
              <w:rPr>
                <w:rFonts w:ascii="宋体"/>
                <w:color w:val="auto"/>
                <w:kern w:val="0"/>
                <w:szCs w:val="21"/>
              </w:rPr>
              <w:t>《2022中国软件行业基准数据》（CSBMK-202310）</w:t>
            </w:r>
          </w:p>
          <w:p w14:paraId="078259D7">
            <w:pPr>
              <w:tabs>
                <w:tab w:val="left" w:pos="1160"/>
              </w:tabs>
              <w:autoSpaceDE w:val="0"/>
              <w:autoSpaceDN w:val="0"/>
              <w:spacing w:line="240" w:lineRule="auto"/>
              <w:ind w:left="420"/>
              <w:jc w:val="left"/>
              <w:rPr>
                <w:rFonts w:ascii="宋体"/>
                <w:color w:val="auto"/>
                <w:kern w:val="0"/>
                <w:szCs w:val="21"/>
              </w:rPr>
            </w:pPr>
            <w:r>
              <w:rPr>
                <w:rFonts w:hint="eastAsia" w:ascii="宋体"/>
                <w:color w:val="auto"/>
                <w:kern w:val="0"/>
                <w:szCs w:val="21"/>
                <w:lang w:val="en-US" w:eastAsia="zh-CN"/>
              </w:rPr>
              <w:t>5</w:t>
            </w:r>
            <w:r>
              <w:rPr>
                <w:rFonts w:hint="eastAsia" w:ascii="宋体"/>
                <w:color w:val="auto"/>
                <w:kern w:val="0"/>
                <w:szCs w:val="21"/>
              </w:rPr>
              <w:t>）</w:t>
            </w:r>
            <w:r>
              <w:rPr>
                <w:rFonts w:ascii="宋体"/>
                <w:color w:val="auto"/>
                <w:kern w:val="0"/>
                <w:szCs w:val="21"/>
              </w:rPr>
              <w:t>《中国软件行业基准数据报告》（SSM-BK-202309）</w:t>
            </w:r>
          </w:p>
          <w:p w14:paraId="188FE261">
            <w:pPr>
              <w:tabs>
                <w:tab w:val="left" w:pos="1160"/>
              </w:tabs>
              <w:autoSpaceDE w:val="0"/>
              <w:autoSpaceDN w:val="0"/>
              <w:spacing w:line="240" w:lineRule="auto"/>
              <w:ind w:left="420"/>
              <w:jc w:val="left"/>
              <w:rPr>
                <w:rFonts w:ascii="宋体"/>
                <w:color w:val="auto"/>
                <w:kern w:val="0"/>
                <w:szCs w:val="21"/>
              </w:rPr>
            </w:pPr>
            <w:r>
              <w:rPr>
                <w:rFonts w:hint="eastAsia" w:ascii="宋体"/>
                <w:color w:val="auto"/>
                <w:kern w:val="0"/>
                <w:szCs w:val="21"/>
                <w:lang w:val="en-US" w:eastAsia="zh-CN"/>
              </w:rPr>
              <w:t>6</w:t>
            </w:r>
            <w:r>
              <w:rPr>
                <w:rFonts w:hint="eastAsia" w:ascii="宋体"/>
                <w:color w:val="auto"/>
                <w:kern w:val="0"/>
                <w:szCs w:val="21"/>
              </w:rPr>
              <w:t>）</w:t>
            </w:r>
            <w:r>
              <w:rPr>
                <w:rFonts w:hint="eastAsia" w:ascii="宋体"/>
                <w:color w:val="auto"/>
                <w:kern w:val="0"/>
                <w:szCs w:val="21"/>
                <w:lang w:val="en-US" w:eastAsia="zh-CN"/>
              </w:rPr>
              <w:t xml:space="preserve"> </w:t>
            </w:r>
            <w:r>
              <w:rPr>
                <w:rFonts w:ascii="宋体"/>
                <w:color w:val="auto"/>
                <w:kern w:val="0"/>
                <w:szCs w:val="21"/>
              </w:rPr>
              <w:t>**项目评估材料等</w:t>
            </w:r>
          </w:p>
          <w:p w14:paraId="629F1272">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color w:val="auto"/>
                <w:kern w:val="44"/>
                <w:szCs w:val="21"/>
              </w:rPr>
            </w:pPr>
            <w:r>
              <w:rPr>
                <w:rFonts w:hint="eastAsia" w:ascii="黑体" w:hAnsi="黑体" w:eastAsia="黑体" w:cs="黑体"/>
                <w:bCs/>
                <w:color w:val="auto"/>
                <w:kern w:val="44"/>
                <w:szCs w:val="21"/>
              </w:rPr>
              <w:t>4 度量目的</w:t>
            </w:r>
          </w:p>
          <w:p w14:paraId="26BFED00">
            <w:pPr>
              <w:pStyle w:val="9"/>
              <w:spacing w:after="0" w:line="240" w:lineRule="auto"/>
              <w:ind w:firstLine="420" w:firstLineChars="200"/>
              <w:rPr>
                <w:rFonts w:ascii="宋体"/>
                <w:szCs w:val="21"/>
              </w:rPr>
            </w:pPr>
            <w:r>
              <w:rPr>
                <w:rFonts w:ascii="宋体"/>
                <w:szCs w:val="21"/>
              </w:rPr>
              <w:t>本次度量的目的，示例如下。</w:t>
            </w:r>
          </w:p>
          <w:p w14:paraId="13559BB3">
            <w:pPr>
              <w:autoSpaceDE w:val="0"/>
              <w:autoSpaceDN w:val="0"/>
              <w:spacing w:line="240" w:lineRule="auto"/>
              <w:ind w:firstLine="412" w:firstLineChars="200"/>
              <w:jc w:val="left"/>
              <w:rPr>
                <w:rFonts w:ascii="宋体"/>
                <w:b/>
                <w:spacing w:val="-2"/>
                <w:kern w:val="0"/>
                <w:szCs w:val="21"/>
              </w:rPr>
            </w:pPr>
            <w:r>
              <w:rPr>
                <w:rFonts w:ascii="宋体"/>
                <w:spacing w:val="-2"/>
                <w:kern w:val="0"/>
                <w:szCs w:val="21"/>
              </w:rPr>
              <w:t>本次度量的目的是确定“XXXXX项目” 客观的功能点规模、工作量及项目开发成本，为“XXXXX”针对该项目的立项、采购、招投标等商务谈判活动提供参考依据。</w:t>
            </w:r>
            <w:r>
              <w:rPr>
                <w:rFonts w:ascii="宋体"/>
                <w:spacing w:val="80"/>
                <w:w w:val="150"/>
                <w:kern w:val="0"/>
                <w:szCs w:val="21"/>
              </w:rPr>
              <w:t xml:space="preserve">    </w:t>
            </w:r>
          </w:p>
          <w:p w14:paraId="1FC93F5A">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5 度量结论</w:t>
            </w:r>
          </w:p>
          <w:p w14:paraId="2CC53DEC">
            <w:pPr>
              <w:pStyle w:val="9"/>
              <w:spacing w:after="0" w:line="240" w:lineRule="auto"/>
              <w:ind w:firstLine="420" w:firstLineChars="200"/>
              <w:rPr>
                <w:rFonts w:ascii="宋体"/>
                <w:szCs w:val="21"/>
              </w:rPr>
            </w:pPr>
            <w:r>
              <w:rPr>
                <w:rFonts w:ascii="宋体"/>
                <w:szCs w:val="21"/>
              </w:rPr>
              <w:t>本次度量的总体结果，包括各功能模块的功能点规模、工作量及开发成本的度量结果等，示例如下。</w:t>
            </w:r>
          </w:p>
          <w:p w14:paraId="3CAB8253">
            <w:pPr>
              <w:pStyle w:val="32"/>
              <w:spacing w:after="0" w:line="240" w:lineRule="auto"/>
              <w:ind w:firstLine="412" w:firstLineChars="200"/>
              <w:rPr>
                <w:rFonts w:ascii="宋体"/>
                <w:spacing w:val="-2"/>
                <w:kern w:val="0"/>
                <w:szCs w:val="21"/>
              </w:rPr>
            </w:pPr>
            <w:r>
              <w:rPr>
                <w:rFonts w:ascii="宋体"/>
                <w:spacing w:val="-2"/>
                <w:kern w:val="0"/>
                <w:szCs w:val="21"/>
              </w:rPr>
              <w:t>本评估报告假定委托方提供的所有资料客观、真实、准确、完整、合法。根据相关行业标准的评估方法、过程及原则，以行业基准数据库为基础，本着客观、公正、科学、独立的原则，按照必要的评估程序，对项目功能需求的功能点规模、工作量、成本进行评估。</w:t>
            </w:r>
          </w:p>
          <w:p w14:paraId="63E51A51">
            <w:pPr>
              <w:autoSpaceDE w:val="0"/>
              <w:autoSpaceDN w:val="0"/>
              <w:spacing w:line="240" w:lineRule="auto"/>
              <w:ind w:firstLine="412" w:firstLineChars="200"/>
              <w:jc w:val="left"/>
              <w:rPr>
                <w:rFonts w:hint="eastAsia" w:ascii="黑体" w:hAnsi="黑体" w:eastAsia="黑体" w:cs="黑体"/>
                <w:kern w:val="0"/>
                <w:szCs w:val="21"/>
              </w:rPr>
            </w:pPr>
            <w:r>
              <w:rPr>
                <w:rFonts w:ascii="宋体"/>
                <w:spacing w:val="-2"/>
                <w:kern w:val="0"/>
                <w:szCs w:val="21"/>
              </w:rPr>
              <w:t>本次度量结果如下：</w:t>
            </w:r>
          </w:p>
          <w:p w14:paraId="425252E0">
            <w:pPr>
              <w:autoSpaceDE w:val="0"/>
              <w:autoSpaceDN w:val="0"/>
              <w:spacing w:before="156" w:beforeLines="50" w:after="156" w:afterLines="50" w:line="240" w:lineRule="auto"/>
              <w:jc w:val="center"/>
              <w:rPr>
                <w:rFonts w:ascii="黑体" w:hAnsi="黑体" w:eastAsia="黑体" w:cs="黑体"/>
                <w:kern w:val="0"/>
                <w:szCs w:val="21"/>
              </w:rPr>
            </w:pPr>
            <w:r>
              <w:rPr>
                <w:rFonts w:hint="eastAsia" w:ascii="黑体" w:hAnsi="黑体" w:eastAsia="黑体" w:cs="黑体"/>
                <w:kern w:val="0"/>
                <w:szCs w:val="21"/>
              </w:rPr>
              <w:br w:type="textWrapping"/>
            </w:r>
            <w:r>
              <w:rPr>
                <w:rFonts w:hint="eastAsia" w:ascii="黑体" w:hAnsi="黑体" w:eastAsia="黑体" w:cs="黑体"/>
                <w:kern w:val="0"/>
                <w:szCs w:val="21"/>
              </w:rPr>
              <w:br w:type="textWrapping"/>
            </w:r>
            <w:r>
              <w:rPr>
                <w:rFonts w:hint="eastAsia" w:ascii="黑体" w:hAnsi="黑体" w:eastAsia="黑体" w:cs="黑体"/>
                <w:kern w:val="0"/>
                <w:szCs w:val="21"/>
              </w:rPr>
              <w:t>表5.1 度量结果表</w:t>
            </w:r>
          </w:p>
          <w:tbl>
            <w:tblPr>
              <w:tblStyle w:val="34"/>
              <w:tblW w:w="91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1200"/>
              <w:gridCol w:w="1014"/>
              <w:gridCol w:w="1014"/>
              <w:gridCol w:w="1014"/>
              <w:gridCol w:w="1014"/>
              <w:gridCol w:w="1014"/>
              <w:gridCol w:w="1015"/>
              <w:gridCol w:w="1015"/>
            </w:tblGrid>
            <w:tr w14:paraId="71404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828" w:type="dxa"/>
                  <w:vMerge w:val="restart"/>
                  <w:vAlign w:val="center"/>
                </w:tcPr>
                <w:p w14:paraId="689AF26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功能</w:t>
                  </w:r>
                </w:p>
                <w:p w14:paraId="6822FD2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模块</w:t>
                  </w:r>
                </w:p>
              </w:tc>
              <w:tc>
                <w:tcPr>
                  <w:tcW w:w="1200" w:type="dxa"/>
                  <w:vMerge w:val="restart"/>
                  <w:vAlign w:val="center"/>
                </w:tcPr>
                <w:p w14:paraId="3D96D06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功能类型</w:t>
                  </w:r>
                </w:p>
              </w:tc>
              <w:tc>
                <w:tcPr>
                  <w:tcW w:w="1014" w:type="dxa"/>
                  <w:vMerge w:val="restart"/>
                  <w:vAlign w:val="center"/>
                </w:tcPr>
                <w:p w14:paraId="4209186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基准功能点数</w:t>
                  </w:r>
                </w:p>
              </w:tc>
              <w:tc>
                <w:tcPr>
                  <w:tcW w:w="3042" w:type="dxa"/>
                  <w:gridSpan w:val="3"/>
                  <w:vAlign w:val="center"/>
                </w:tcPr>
                <w:p w14:paraId="2F22FF4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核定工作量（单位：人天）</w:t>
                  </w:r>
                </w:p>
              </w:tc>
              <w:tc>
                <w:tcPr>
                  <w:tcW w:w="3044" w:type="dxa"/>
                  <w:gridSpan w:val="3"/>
                  <w:vAlign w:val="center"/>
                </w:tcPr>
                <w:p w14:paraId="574E354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核定投资（单位：万元）</w:t>
                  </w:r>
                </w:p>
              </w:tc>
            </w:tr>
            <w:tr w14:paraId="5C6E6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828" w:type="dxa"/>
                  <w:vMerge w:val="continue"/>
                  <w:vAlign w:val="center"/>
                </w:tcPr>
                <w:p w14:paraId="3DDD195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200" w:type="dxa"/>
                  <w:vMerge w:val="continue"/>
                  <w:vAlign w:val="center"/>
                </w:tcPr>
                <w:p w14:paraId="2715C63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Merge w:val="continue"/>
                  <w:vAlign w:val="center"/>
                </w:tcPr>
                <w:p w14:paraId="5EFC9CB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5D05ECB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下限</w:t>
                  </w:r>
                </w:p>
              </w:tc>
              <w:tc>
                <w:tcPr>
                  <w:tcW w:w="1014" w:type="dxa"/>
                  <w:vAlign w:val="center"/>
                </w:tcPr>
                <w:p w14:paraId="40BB8C2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基准</w:t>
                  </w:r>
                </w:p>
              </w:tc>
              <w:tc>
                <w:tcPr>
                  <w:tcW w:w="1014" w:type="dxa"/>
                  <w:vAlign w:val="center"/>
                </w:tcPr>
                <w:p w14:paraId="64231F3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上限</w:t>
                  </w:r>
                </w:p>
              </w:tc>
              <w:tc>
                <w:tcPr>
                  <w:tcW w:w="1014" w:type="dxa"/>
                  <w:vAlign w:val="center"/>
                </w:tcPr>
                <w:p w14:paraId="6DE8BE8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下限</w:t>
                  </w:r>
                </w:p>
              </w:tc>
              <w:tc>
                <w:tcPr>
                  <w:tcW w:w="1015" w:type="dxa"/>
                  <w:vAlign w:val="center"/>
                </w:tcPr>
                <w:p w14:paraId="329D1DB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基准</w:t>
                  </w:r>
                </w:p>
              </w:tc>
              <w:tc>
                <w:tcPr>
                  <w:tcW w:w="1015" w:type="dxa"/>
                  <w:vAlign w:val="center"/>
                </w:tcPr>
                <w:p w14:paraId="703CE4E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上限</w:t>
                  </w:r>
                </w:p>
              </w:tc>
            </w:tr>
            <w:tr w14:paraId="46543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828" w:type="dxa"/>
                  <w:vAlign w:val="center"/>
                </w:tcPr>
                <w:p w14:paraId="623AE162">
                  <w:pPr>
                    <w:pStyle w:val="32"/>
                    <w:keepNext w:val="0"/>
                    <w:keepLines w:val="0"/>
                    <w:pageBreakBefore w:val="0"/>
                    <w:widowControl/>
                    <w:kinsoku/>
                    <w:wordWrap/>
                    <w:overflowPunct/>
                    <w:topLinePunct w:val="0"/>
                    <w:autoSpaceDE/>
                    <w:autoSpaceDN/>
                    <w:bidi w:val="0"/>
                    <w:adjustRightInd/>
                    <w:snapToGrid/>
                    <w:spacing w:after="0" w:line="240" w:lineRule="auto"/>
                    <w:ind w:firstLine="210"/>
                    <w:jc w:val="center"/>
                    <w:rPr>
                      <w:rFonts w:ascii="宋体"/>
                      <w:sz w:val="21"/>
                      <w:szCs w:val="21"/>
                    </w:rPr>
                  </w:pPr>
                </w:p>
              </w:tc>
              <w:tc>
                <w:tcPr>
                  <w:tcW w:w="1200" w:type="dxa"/>
                  <w:vAlign w:val="center"/>
                </w:tcPr>
                <w:p w14:paraId="3FA64E5C">
                  <w:pPr>
                    <w:pStyle w:val="32"/>
                    <w:keepNext w:val="0"/>
                    <w:keepLines w:val="0"/>
                    <w:pageBreakBefore w:val="0"/>
                    <w:widowControl/>
                    <w:kinsoku/>
                    <w:wordWrap/>
                    <w:overflowPunct/>
                    <w:topLinePunct w:val="0"/>
                    <w:autoSpaceDE/>
                    <w:autoSpaceDN/>
                    <w:bidi w:val="0"/>
                    <w:adjustRightInd/>
                    <w:snapToGrid/>
                    <w:spacing w:after="0" w:line="240" w:lineRule="auto"/>
                    <w:ind w:firstLine="0" w:firstLineChars="0"/>
                    <w:jc w:val="center"/>
                    <w:rPr>
                      <w:rFonts w:ascii="宋体"/>
                      <w:kern w:val="0"/>
                      <w:sz w:val="21"/>
                      <w:szCs w:val="21"/>
                      <w:lang w:bidi="ar"/>
                    </w:rPr>
                  </w:pPr>
                  <w:r>
                    <w:rPr>
                      <w:rFonts w:ascii="宋体"/>
                      <w:kern w:val="0"/>
                      <w:sz w:val="21"/>
                      <w:szCs w:val="21"/>
                      <w:lang w:bidi="ar"/>
                    </w:rPr>
                    <w:t>功能需求</w:t>
                  </w:r>
                </w:p>
              </w:tc>
              <w:tc>
                <w:tcPr>
                  <w:tcW w:w="1014" w:type="dxa"/>
                  <w:vAlign w:val="center"/>
                </w:tcPr>
                <w:p w14:paraId="6F3F8ED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619A3B5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5E6FD56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74C2549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0A30B2D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5" w:type="dxa"/>
                  <w:vAlign w:val="center"/>
                </w:tcPr>
                <w:p w14:paraId="0902AA4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5" w:type="dxa"/>
                  <w:vAlign w:val="center"/>
                </w:tcPr>
                <w:p w14:paraId="61235BB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r>
            <w:tr w14:paraId="1D111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828" w:type="dxa"/>
                  <w:vAlign w:val="center"/>
                </w:tcPr>
                <w:p w14:paraId="04DC978A">
                  <w:pPr>
                    <w:pStyle w:val="32"/>
                    <w:keepNext w:val="0"/>
                    <w:keepLines w:val="0"/>
                    <w:pageBreakBefore w:val="0"/>
                    <w:widowControl/>
                    <w:kinsoku/>
                    <w:wordWrap/>
                    <w:overflowPunct/>
                    <w:topLinePunct w:val="0"/>
                    <w:autoSpaceDE/>
                    <w:autoSpaceDN/>
                    <w:bidi w:val="0"/>
                    <w:adjustRightInd/>
                    <w:snapToGrid/>
                    <w:spacing w:after="0" w:line="240" w:lineRule="auto"/>
                    <w:ind w:firstLine="210"/>
                    <w:jc w:val="center"/>
                    <w:rPr>
                      <w:rFonts w:ascii="宋体"/>
                      <w:sz w:val="21"/>
                      <w:szCs w:val="21"/>
                    </w:rPr>
                  </w:pPr>
                </w:p>
              </w:tc>
              <w:tc>
                <w:tcPr>
                  <w:tcW w:w="1200" w:type="dxa"/>
                  <w:vAlign w:val="center"/>
                </w:tcPr>
                <w:p w14:paraId="5D9B6AA3">
                  <w:pPr>
                    <w:pStyle w:val="32"/>
                    <w:keepNext w:val="0"/>
                    <w:keepLines w:val="0"/>
                    <w:pageBreakBefore w:val="0"/>
                    <w:widowControl/>
                    <w:kinsoku/>
                    <w:wordWrap/>
                    <w:overflowPunct/>
                    <w:topLinePunct w:val="0"/>
                    <w:autoSpaceDE/>
                    <w:autoSpaceDN/>
                    <w:bidi w:val="0"/>
                    <w:adjustRightInd/>
                    <w:snapToGrid/>
                    <w:spacing w:after="0" w:line="240" w:lineRule="auto"/>
                    <w:ind w:firstLine="0" w:firstLineChars="0"/>
                    <w:jc w:val="center"/>
                    <w:rPr>
                      <w:rFonts w:ascii="宋体"/>
                      <w:kern w:val="0"/>
                      <w:sz w:val="21"/>
                      <w:szCs w:val="21"/>
                      <w:lang w:bidi="ar"/>
                    </w:rPr>
                  </w:pPr>
                  <w:r>
                    <w:rPr>
                      <w:rFonts w:ascii="宋体"/>
                      <w:kern w:val="0"/>
                      <w:sz w:val="21"/>
                      <w:szCs w:val="21"/>
                      <w:lang w:bidi="ar"/>
                    </w:rPr>
                    <w:t>功能需求</w:t>
                  </w:r>
                </w:p>
              </w:tc>
              <w:tc>
                <w:tcPr>
                  <w:tcW w:w="1014" w:type="dxa"/>
                  <w:vAlign w:val="center"/>
                </w:tcPr>
                <w:p w14:paraId="514A9E3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4052871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0C02407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043CFEB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71726D5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5" w:type="dxa"/>
                  <w:vAlign w:val="center"/>
                </w:tcPr>
                <w:p w14:paraId="3C2538C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5" w:type="dxa"/>
                  <w:vAlign w:val="center"/>
                </w:tcPr>
                <w:p w14:paraId="48E44DE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r>
            <w:tr w14:paraId="5E02F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828" w:type="dxa"/>
                  <w:vAlign w:val="center"/>
                </w:tcPr>
                <w:p w14:paraId="33D2FA9D">
                  <w:pPr>
                    <w:pStyle w:val="32"/>
                    <w:keepNext w:val="0"/>
                    <w:keepLines w:val="0"/>
                    <w:pageBreakBefore w:val="0"/>
                    <w:widowControl/>
                    <w:kinsoku/>
                    <w:wordWrap/>
                    <w:overflowPunct/>
                    <w:topLinePunct w:val="0"/>
                    <w:autoSpaceDE/>
                    <w:autoSpaceDN/>
                    <w:bidi w:val="0"/>
                    <w:adjustRightInd/>
                    <w:snapToGrid/>
                    <w:spacing w:after="0" w:line="240" w:lineRule="auto"/>
                    <w:ind w:firstLine="0" w:firstLineChars="0"/>
                    <w:jc w:val="center"/>
                    <w:rPr>
                      <w:rFonts w:ascii="宋体"/>
                      <w:sz w:val="21"/>
                      <w:szCs w:val="21"/>
                    </w:rPr>
                  </w:pPr>
                  <w:r>
                    <w:rPr>
                      <w:rFonts w:ascii="宋体"/>
                      <w:kern w:val="0"/>
                      <w:sz w:val="21"/>
                      <w:szCs w:val="21"/>
                      <w:lang w:bidi="ar"/>
                    </w:rPr>
                    <w:t>合计</w:t>
                  </w:r>
                </w:p>
              </w:tc>
              <w:tc>
                <w:tcPr>
                  <w:tcW w:w="1200" w:type="dxa"/>
                  <w:vAlign w:val="center"/>
                </w:tcPr>
                <w:p w14:paraId="72FBA782">
                  <w:pPr>
                    <w:pStyle w:val="32"/>
                    <w:keepNext w:val="0"/>
                    <w:keepLines w:val="0"/>
                    <w:pageBreakBefore w:val="0"/>
                    <w:widowControl/>
                    <w:kinsoku/>
                    <w:wordWrap/>
                    <w:overflowPunct/>
                    <w:topLinePunct w:val="0"/>
                    <w:autoSpaceDE/>
                    <w:autoSpaceDN/>
                    <w:bidi w:val="0"/>
                    <w:adjustRightInd/>
                    <w:snapToGrid/>
                    <w:spacing w:after="0" w:line="240" w:lineRule="auto"/>
                    <w:ind w:firstLine="210"/>
                    <w:jc w:val="center"/>
                    <w:rPr>
                      <w:rFonts w:ascii="宋体"/>
                      <w:kern w:val="0"/>
                      <w:sz w:val="21"/>
                      <w:szCs w:val="21"/>
                      <w:lang w:bidi="ar"/>
                    </w:rPr>
                  </w:pPr>
                </w:p>
              </w:tc>
              <w:tc>
                <w:tcPr>
                  <w:tcW w:w="1014" w:type="dxa"/>
                  <w:vAlign w:val="center"/>
                </w:tcPr>
                <w:p w14:paraId="3269BD7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4D356DA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529D97B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07DD35A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40DA9C8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5" w:type="dxa"/>
                  <w:vAlign w:val="center"/>
                </w:tcPr>
                <w:p w14:paraId="497C237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5" w:type="dxa"/>
                  <w:vAlign w:val="center"/>
                </w:tcPr>
                <w:p w14:paraId="629DF08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r>
          </w:tbl>
          <w:p w14:paraId="60A44F91">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6 度量过程</w:t>
            </w:r>
          </w:p>
          <w:p w14:paraId="503B18DD">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bookmarkStart w:id="92" w:name="_Toc5766"/>
            <w:r>
              <w:rPr>
                <w:rFonts w:hint="eastAsia" w:ascii="黑体" w:hAnsi="黑体" w:eastAsia="黑体" w:cs="黑体"/>
                <w:bCs/>
                <w:kern w:val="44"/>
                <w:szCs w:val="21"/>
              </w:rPr>
              <w:t>6.1 评估方法介绍</w:t>
            </w:r>
          </w:p>
          <w:p w14:paraId="34D474E1">
            <w:pPr>
              <w:pStyle w:val="32"/>
              <w:spacing w:after="0" w:line="240" w:lineRule="auto"/>
              <w:ind w:left="0" w:leftChars="0" w:firstLine="412" w:firstLineChars="200"/>
              <w:rPr>
                <w:rFonts w:ascii="宋体"/>
                <w:kern w:val="0"/>
                <w:szCs w:val="21"/>
              </w:rPr>
            </w:pPr>
            <w:r>
              <w:rPr>
                <w:rFonts w:ascii="宋体"/>
                <w:spacing w:val="-2"/>
                <w:kern w:val="0"/>
                <w:szCs w:val="21"/>
              </w:rPr>
              <w:t>所采用的评估方法，包括原理、评估步骤及必要的术语定义等，为便于理解，可配图说明。</w:t>
            </w:r>
          </w:p>
          <w:p w14:paraId="1A476B19">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6.2 规模度量</w:t>
            </w:r>
          </w:p>
          <w:p w14:paraId="3DE0C7CB">
            <w:pPr>
              <w:autoSpaceDE w:val="0"/>
              <w:autoSpaceDN w:val="0"/>
              <w:spacing w:line="240" w:lineRule="auto"/>
              <w:ind w:firstLine="412" w:firstLineChars="200"/>
              <w:jc w:val="left"/>
              <w:rPr>
                <w:rFonts w:ascii="宋体"/>
                <w:spacing w:val="-2"/>
                <w:kern w:val="0"/>
                <w:szCs w:val="21"/>
              </w:rPr>
            </w:pPr>
            <w:r>
              <w:rPr>
                <w:rFonts w:ascii="宋体"/>
                <w:spacing w:val="-2"/>
                <w:kern w:val="0"/>
                <w:szCs w:val="21"/>
              </w:rPr>
              <w:t>功能规模的详细度量结果，包括规模度量结果汇总表、COSMIC功能点度量表等，示例如下。</w:t>
            </w:r>
          </w:p>
          <w:p w14:paraId="7AC2CCAA">
            <w:pPr>
              <w:autoSpaceDE w:val="0"/>
              <w:autoSpaceDN w:val="0"/>
              <w:spacing w:before="156" w:beforeLines="50" w:after="156" w:afterLines="50" w:line="240" w:lineRule="auto"/>
              <w:jc w:val="center"/>
              <w:rPr>
                <w:rFonts w:ascii="黑体" w:hAnsi="黑体" w:eastAsia="黑体" w:cs="黑体"/>
                <w:kern w:val="0"/>
                <w:szCs w:val="21"/>
              </w:rPr>
            </w:pPr>
            <w:r>
              <w:rPr>
                <w:rFonts w:hint="eastAsia" w:ascii="黑体" w:hAnsi="黑体" w:eastAsia="黑体" w:cs="黑体"/>
                <w:kern w:val="0"/>
                <w:szCs w:val="21"/>
              </w:rPr>
              <w:t>表6.1 功能规模度量结果表</w:t>
            </w:r>
          </w:p>
          <w:tbl>
            <w:tblPr>
              <w:tblStyle w:val="3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88"/>
              <w:gridCol w:w="2548"/>
              <w:gridCol w:w="3988"/>
            </w:tblGrid>
            <w:tr w14:paraId="29C68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418" w:type="pct"/>
                  <w:vAlign w:val="center"/>
                </w:tcPr>
                <w:p w14:paraId="7A12390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kern w:val="0"/>
                      <w:sz w:val="21"/>
                      <w:szCs w:val="21"/>
                      <w:lang w:bidi="ar"/>
                    </w:rPr>
                  </w:pPr>
                  <w:r>
                    <w:rPr>
                      <w:rFonts w:hint="eastAsia" w:ascii="宋体" w:hAnsi="宋体" w:cs="宋体"/>
                      <w:kern w:val="0"/>
                      <w:sz w:val="21"/>
                      <w:szCs w:val="21"/>
                      <w:lang w:bidi="ar"/>
                    </w:rPr>
                    <w:t>功能模块</w:t>
                  </w:r>
                </w:p>
              </w:tc>
              <w:tc>
                <w:tcPr>
                  <w:tcW w:w="1395" w:type="pct"/>
                  <w:vAlign w:val="center"/>
                </w:tcPr>
                <w:p w14:paraId="1C2BE72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kern w:val="0"/>
                      <w:sz w:val="21"/>
                      <w:szCs w:val="21"/>
                      <w:lang w:bidi="ar"/>
                    </w:rPr>
                  </w:pPr>
                  <w:r>
                    <w:rPr>
                      <w:rFonts w:hint="eastAsia" w:ascii="宋体" w:hAnsi="宋体" w:cs="宋体"/>
                      <w:kern w:val="0"/>
                      <w:sz w:val="21"/>
                      <w:szCs w:val="21"/>
                      <w:lang w:bidi="ar"/>
                    </w:rPr>
                    <w:t>功能类型</w:t>
                  </w:r>
                </w:p>
              </w:tc>
              <w:tc>
                <w:tcPr>
                  <w:tcW w:w="2185" w:type="pct"/>
                  <w:vAlign w:val="center"/>
                </w:tcPr>
                <w:p w14:paraId="619DC84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kern w:val="0"/>
                      <w:sz w:val="21"/>
                      <w:szCs w:val="21"/>
                      <w:lang w:bidi="ar"/>
                    </w:rPr>
                  </w:pPr>
                  <w:r>
                    <w:rPr>
                      <w:rFonts w:hint="eastAsia" w:ascii="宋体" w:hAnsi="宋体" w:cs="宋体"/>
                      <w:kern w:val="0"/>
                      <w:sz w:val="21"/>
                      <w:szCs w:val="21"/>
                      <w:lang w:bidi="ar"/>
                    </w:rPr>
                    <w:t>基准功能点数（单位：CFP）</w:t>
                  </w:r>
                </w:p>
              </w:tc>
            </w:tr>
            <w:tr w14:paraId="4F107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418" w:type="pct"/>
                  <w:vAlign w:val="center"/>
                </w:tcPr>
                <w:p w14:paraId="294F05D0">
                  <w:pPr>
                    <w:pStyle w:val="32"/>
                    <w:keepNext w:val="0"/>
                    <w:keepLines w:val="0"/>
                    <w:pageBreakBefore w:val="0"/>
                    <w:kinsoku/>
                    <w:wordWrap/>
                    <w:overflowPunct/>
                    <w:topLinePunct w:val="0"/>
                    <w:autoSpaceDE/>
                    <w:autoSpaceDN/>
                    <w:bidi w:val="0"/>
                    <w:adjustRightInd/>
                    <w:snapToGrid/>
                    <w:spacing w:after="0" w:line="240" w:lineRule="auto"/>
                    <w:ind w:firstLine="210"/>
                    <w:jc w:val="center"/>
                    <w:rPr>
                      <w:rFonts w:ascii="宋体" w:hAnsi="宋体" w:cs="宋体"/>
                      <w:sz w:val="21"/>
                      <w:szCs w:val="21"/>
                    </w:rPr>
                  </w:pPr>
                </w:p>
              </w:tc>
              <w:tc>
                <w:tcPr>
                  <w:tcW w:w="1395" w:type="pct"/>
                  <w:vAlign w:val="center"/>
                </w:tcPr>
                <w:p w14:paraId="3C12201E">
                  <w:pPr>
                    <w:pStyle w:val="32"/>
                    <w:keepNext w:val="0"/>
                    <w:keepLines w:val="0"/>
                    <w:pageBreakBefore w:val="0"/>
                    <w:kinsoku/>
                    <w:wordWrap/>
                    <w:overflowPunct/>
                    <w:topLinePunct w:val="0"/>
                    <w:autoSpaceDE/>
                    <w:autoSpaceDN/>
                    <w:bidi w:val="0"/>
                    <w:adjustRightInd/>
                    <w:snapToGrid/>
                    <w:spacing w:after="0" w:line="240" w:lineRule="auto"/>
                    <w:ind w:firstLine="0" w:firstLineChars="0"/>
                    <w:jc w:val="center"/>
                    <w:rPr>
                      <w:rFonts w:ascii="宋体" w:hAnsi="宋体" w:cs="宋体"/>
                      <w:sz w:val="21"/>
                      <w:szCs w:val="21"/>
                    </w:rPr>
                  </w:pPr>
                  <w:r>
                    <w:rPr>
                      <w:rFonts w:hint="eastAsia" w:ascii="宋体" w:hAnsi="宋体" w:cs="宋体"/>
                      <w:kern w:val="0"/>
                      <w:sz w:val="21"/>
                      <w:szCs w:val="21"/>
                      <w:lang w:bidi="ar"/>
                    </w:rPr>
                    <w:t>功能需求</w:t>
                  </w:r>
                </w:p>
              </w:tc>
              <w:tc>
                <w:tcPr>
                  <w:tcW w:w="2185" w:type="pct"/>
                  <w:vAlign w:val="center"/>
                </w:tcPr>
                <w:p w14:paraId="0C2053AE">
                  <w:pPr>
                    <w:pStyle w:val="32"/>
                    <w:keepNext w:val="0"/>
                    <w:keepLines w:val="0"/>
                    <w:pageBreakBefore w:val="0"/>
                    <w:kinsoku/>
                    <w:wordWrap/>
                    <w:overflowPunct/>
                    <w:topLinePunct w:val="0"/>
                    <w:autoSpaceDE/>
                    <w:autoSpaceDN/>
                    <w:bidi w:val="0"/>
                    <w:adjustRightInd/>
                    <w:snapToGrid/>
                    <w:spacing w:after="0" w:line="240" w:lineRule="auto"/>
                    <w:ind w:firstLine="210"/>
                    <w:jc w:val="center"/>
                    <w:rPr>
                      <w:rFonts w:ascii="宋体" w:hAnsi="宋体" w:cs="宋体"/>
                      <w:sz w:val="21"/>
                      <w:szCs w:val="21"/>
                    </w:rPr>
                  </w:pPr>
                </w:p>
              </w:tc>
            </w:tr>
            <w:tr w14:paraId="3CF46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418" w:type="pct"/>
                  <w:vAlign w:val="center"/>
                </w:tcPr>
                <w:p w14:paraId="5428422D">
                  <w:pPr>
                    <w:pStyle w:val="32"/>
                    <w:keepNext w:val="0"/>
                    <w:keepLines w:val="0"/>
                    <w:pageBreakBefore w:val="0"/>
                    <w:kinsoku/>
                    <w:wordWrap/>
                    <w:overflowPunct/>
                    <w:topLinePunct w:val="0"/>
                    <w:autoSpaceDE/>
                    <w:autoSpaceDN/>
                    <w:bidi w:val="0"/>
                    <w:adjustRightInd/>
                    <w:snapToGrid/>
                    <w:spacing w:after="0" w:line="240" w:lineRule="auto"/>
                    <w:ind w:firstLine="210"/>
                    <w:jc w:val="center"/>
                    <w:rPr>
                      <w:rFonts w:ascii="宋体" w:hAnsi="宋体" w:cs="宋体"/>
                      <w:sz w:val="21"/>
                      <w:szCs w:val="21"/>
                    </w:rPr>
                  </w:pPr>
                </w:p>
              </w:tc>
              <w:tc>
                <w:tcPr>
                  <w:tcW w:w="1395" w:type="pct"/>
                  <w:vAlign w:val="center"/>
                </w:tcPr>
                <w:p w14:paraId="2B7A14CC">
                  <w:pPr>
                    <w:pStyle w:val="32"/>
                    <w:keepNext w:val="0"/>
                    <w:keepLines w:val="0"/>
                    <w:pageBreakBefore w:val="0"/>
                    <w:kinsoku/>
                    <w:wordWrap/>
                    <w:overflowPunct/>
                    <w:topLinePunct w:val="0"/>
                    <w:autoSpaceDE/>
                    <w:autoSpaceDN/>
                    <w:bidi w:val="0"/>
                    <w:adjustRightInd/>
                    <w:snapToGrid/>
                    <w:spacing w:after="0" w:line="240" w:lineRule="auto"/>
                    <w:ind w:firstLine="0" w:firstLineChars="0"/>
                    <w:jc w:val="center"/>
                    <w:rPr>
                      <w:rFonts w:ascii="宋体" w:hAnsi="宋体" w:cs="宋体"/>
                      <w:sz w:val="21"/>
                      <w:szCs w:val="21"/>
                    </w:rPr>
                  </w:pPr>
                  <w:r>
                    <w:rPr>
                      <w:rFonts w:hint="eastAsia" w:ascii="宋体" w:hAnsi="宋体" w:cs="宋体"/>
                      <w:kern w:val="0"/>
                      <w:sz w:val="21"/>
                      <w:szCs w:val="21"/>
                      <w:lang w:bidi="ar"/>
                    </w:rPr>
                    <w:t>功能需求</w:t>
                  </w:r>
                </w:p>
              </w:tc>
              <w:tc>
                <w:tcPr>
                  <w:tcW w:w="2185" w:type="pct"/>
                  <w:vAlign w:val="center"/>
                </w:tcPr>
                <w:p w14:paraId="1198B953">
                  <w:pPr>
                    <w:pStyle w:val="32"/>
                    <w:keepNext w:val="0"/>
                    <w:keepLines w:val="0"/>
                    <w:pageBreakBefore w:val="0"/>
                    <w:kinsoku/>
                    <w:wordWrap/>
                    <w:overflowPunct/>
                    <w:topLinePunct w:val="0"/>
                    <w:autoSpaceDE/>
                    <w:autoSpaceDN/>
                    <w:bidi w:val="0"/>
                    <w:adjustRightInd/>
                    <w:snapToGrid/>
                    <w:spacing w:after="0" w:line="240" w:lineRule="auto"/>
                    <w:ind w:firstLine="210"/>
                    <w:jc w:val="center"/>
                    <w:rPr>
                      <w:rFonts w:ascii="宋体" w:hAnsi="宋体" w:cs="宋体"/>
                      <w:sz w:val="21"/>
                      <w:szCs w:val="21"/>
                    </w:rPr>
                  </w:pPr>
                </w:p>
              </w:tc>
            </w:tr>
            <w:tr w14:paraId="2DF9D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14" w:type="pct"/>
                  <w:gridSpan w:val="2"/>
                  <w:vAlign w:val="center"/>
                </w:tcPr>
                <w:p w14:paraId="139D90C8">
                  <w:pPr>
                    <w:pStyle w:val="32"/>
                    <w:keepNext w:val="0"/>
                    <w:keepLines w:val="0"/>
                    <w:pageBreakBefore w:val="0"/>
                    <w:kinsoku/>
                    <w:wordWrap/>
                    <w:overflowPunct/>
                    <w:topLinePunct w:val="0"/>
                    <w:autoSpaceDE/>
                    <w:autoSpaceDN/>
                    <w:bidi w:val="0"/>
                    <w:adjustRightInd/>
                    <w:snapToGrid/>
                    <w:spacing w:after="0" w:line="240" w:lineRule="auto"/>
                    <w:ind w:firstLine="210"/>
                    <w:jc w:val="center"/>
                    <w:rPr>
                      <w:rFonts w:ascii="宋体" w:hAnsi="宋体" w:cs="宋体"/>
                      <w:sz w:val="21"/>
                      <w:szCs w:val="21"/>
                    </w:rPr>
                  </w:pPr>
                  <w:r>
                    <w:rPr>
                      <w:rFonts w:hint="eastAsia" w:ascii="宋体" w:hAnsi="宋体" w:cs="宋体"/>
                      <w:kern w:val="0"/>
                      <w:sz w:val="21"/>
                      <w:szCs w:val="21"/>
                      <w:lang w:bidi="ar"/>
                    </w:rPr>
                    <w:t>合计</w:t>
                  </w:r>
                </w:p>
              </w:tc>
              <w:tc>
                <w:tcPr>
                  <w:tcW w:w="2185" w:type="pct"/>
                  <w:vAlign w:val="center"/>
                </w:tcPr>
                <w:p w14:paraId="7AA7853C">
                  <w:pPr>
                    <w:pStyle w:val="32"/>
                    <w:keepNext w:val="0"/>
                    <w:keepLines w:val="0"/>
                    <w:pageBreakBefore w:val="0"/>
                    <w:kinsoku/>
                    <w:wordWrap/>
                    <w:overflowPunct/>
                    <w:topLinePunct w:val="0"/>
                    <w:autoSpaceDE/>
                    <w:autoSpaceDN/>
                    <w:bidi w:val="0"/>
                    <w:adjustRightInd/>
                    <w:snapToGrid/>
                    <w:spacing w:after="0" w:line="240" w:lineRule="auto"/>
                    <w:ind w:firstLine="210"/>
                    <w:jc w:val="center"/>
                    <w:rPr>
                      <w:rFonts w:ascii="宋体" w:hAnsi="宋体" w:cs="宋体"/>
                      <w:sz w:val="21"/>
                      <w:szCs w:val="21"/>
                    </w:rPr>
                  </w:pPr>
                </w:p>
              </w:tc>
            </w:tr>
          </w:tbl>
          <w:p w14:paraId="2431C7B6">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6.3 工作量度量</w:t>
            </w:r>
          </w:p>
          <w:p w14:paraId="04D74BFF">
            <w:pPr>
              <w:pStyle w:val="9"/>
              <w:spacing w:after="0" w:line="240" w:lineRule="auto"/>
              <w:ind w:firstLine="412" w:firstLineChars="200"/>
              <w:rPr>
                <w:rFonts w:ascii="宋体"/>
                <w:szCs w:val="21"/>
              </w:rPr>
            </w:pPr>
            <w:r>
              <w:rPr>
                <w:rFonts w:ascii="宋体"/>
                <w:spacing w:val="-2"/>
                <w:kern w:val="0"/>
                <w:szCs w:val="21"/>
              </w:rPr>
              <w:t>采用的工作量度量模型及度量结果，示例如下。</w:t>
            </w:r>
          </w:p>
          <w:p w14:paraId="6E22CB72">
            <w:pPr>
              <w:autoSpaceDE w:val="0"/>
              <w:autoSpaceDN w:val="0"/>
              <w:spacing w:line="240" w:lineRule="auto"/>
              <w:ind w:firstLine="412" w:firstLineChars="200"/>
              <w:jc w:val="left"/>
              <w:rPr>
                <w:rFonts w:ascii="宋体"/>
                <w:kern w:val="0"/>
                <w:szCs w:val="21"/>
              </w:rPr>
            </w:pPr>
            <w:r>
              <w:rPr>
                <w:rFonts w:ascii="宋体"/>
                <w:spacing w:val="-2"/>
                <w:kern w:val="0"/>
                <w:szCs w:val="21"/>
              </w:rPr>
              <w:t>本报告工作量度量采用的估算模型如下所示</w:t>
            </w:r>
            <w:r>
              <w:rPr>
                <w:rFonts w:ascii="宋体"/>
                <w:kern w:val="0"/>
                <w:szCs w:val="21"/>
              </w:rPr>
              <w:t>。</w:t>
            </w:r>
          </w:p>
          <w:p w14:paraId="5EDEBED4">
            <w:pPr>
              <w:autoSpaceDE w:val="0"/>
              <w:autoSpaceDN w:val="0"/>
              <w:spacing w:before="156" w:beforeLines="50" w:after="156" w:afterLines="50" w:line="240" w:lineRule="auto"/>
              <w:jc w:val="center"/>
              <w:rPr>
                <w:rFonts w:ascii="黑体" w:hAnsi="黑体" w:eastAsia="黑体" w:cs="黑体"/>
                <w:spacing w:val="-2"/>
                <w:kern w:val="0"/>
                <w:szCs w:val="21"/>
              </w:rPr>
            </w:pPr>
            <w:r>
              <w:rPr>
                <w:rFonts w:hint="eastAsia" w:ascii="黑体" w:hAnsi="黑体" w:eastAsia="黑体" w:cs="黑体"/>
                <w:kern w:val="0"/>
                <w:szCs w:val="21"/>
              </w:rPr>
              <w:t>表6.2 结果计算一览</w:t>
            </w:r>
            <w:r>
              <w:rPr>
                <w:rFonts w:hint="eastAsia" w:ascii="黑体" w:hAnsi="黑体" w:eastAsia="黑体" w:cs="黑体"/>
                <w:spacing w:val="-2"/>
                <w:kern w:val="0"/>
                <w:szCs w:val="21"/>
              </w:rPr>
              <w:t>表</w:t>
            </w:r>
          </w:p>
          <w:tbl>
            <w:tblPr>
              <w:tblStyle w:val="33"/>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038"/>
              <w:gridCol w:w="3061"/>
              <w:gridCol w:w="3024"/>
            </w:tblGrid>
            <w:tr w14:paraId="6A932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2834739A">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单项</w:t>
                  </w:r>
                </w:p>
              </w:tc>
              <w:tc>
                <w:tcPr>
                  <w:tcW w:w="1657" w:type="pct"/>
                  <w:vAlign w:val="center"/>
                </w:tcPr>
                <w:p w14:paraId="4DA969A2">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数值</w:t>
                  </w:r>
                </w:p>
              </w:tc>
            </w:tr>
            <w:tr w14:paraId="0CB47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0F2E4D6F">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功能规模（功能点）</w:t>
                  </w:r>
                </w:p>
              </w:tc>
              <w:tc>
                <w:tcPr>
                  <w:tcW w:w="1657" w:type="pct"/>
                  <w:vAlign w:val="center"/>
                </w:tcPr>
                <w:p w14:paraId="103711F0">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2353D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60E50544">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规模变更因子</w:t>
                  </w:r>
                </w:p>
              </w:tc>
              <w:tc>
                <w:tcPr>
                  <w:tcW w:w="1657" w:type="pct"/>
                  <w:vAlign w:val="center"/>
                </w:tcPr>
                <w:p w14:paraId="54525D17">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62D2D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4D877E77">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调整后的规模(功能点)</w:t>
                  </w:r>
                </w:p>
              </w:tc>
              <w:tc>
                <w:tcPr>
                  <w:tcW w:w="1657" w:type="pct"/>
                  <w:vAlign w:val="center"/>
                </w:tcPr>
                <w:p w14:paraId="65283D6B">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3843E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3D120F15">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生产率（人天/功能点）</w:t>
                  </w:r>
                </w:p>
              </w:tc>
              <w:tc>
                <w:tcPr>
                  <w:tcW w:w="1657" w:type="pct"/>
                  <w:vAlign w:val="center"/>
                </w:tcPr>
                <w:p w14:paraId="10F7C2BB">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76CE9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647AEDCB">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工作量（人天）</w:t>
                  </w:r>
                </w:p>
              </w:tc>
              <w:tc>
                <w:tcPr>
                  <w:tcW w:w="1657" w:type="pct"/>
                  <w:vAlign w:val="center"/>
                </w:tcPr>
                <w:p w14:paraId="14054C70">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234D4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44951677">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软件因素调整</w:t>
                  </w:r>
                </w:p>
              </w:tc>
              <w:tc>
                <w:tcPr>
                  <w:tcW w:w="1657" w:type="pct"/>
                  <w:vAlign w:val="center"/>
                </w:tcPr>
                <w:p w14:paraId="4C19F44F">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5F7DA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1CD17C3C">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软件规模SF</w:t>
                  </w:r>
                </w:p>
              </w:tc>
              <w:tc>
                <w:tcPr>
                  <w:tcW w:w="1657" w:type="pct"/>
                  <w:vAlign w:val="center"/>
                </w:tcPr>
                <w:p w14:paraId="63B4DF82">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6E801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0D7588A9">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应用类型AT</w:t>
                  </w:r>
                </w:p>
              </w:tc>
              <w:tc>
                <w:tcPr>
                  <w:tcW w:w="1657" w:type="pct"/>
                  <w:vAlign w:val="center"/>
                </w:tcPr>
                <w:p w14:paraId="073D7EE0">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6C1BC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23E15F7A">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质量及特性QR</w:t>
                  </w:r>
                </w:p>
              </w:tc>
              <w:tc>
                <w:tcPr>
                  <w:tcW w:w="1657" w:type="pct"/>
                  <w:vAlign w:val="center"/>
                </w:tcPr>
                <w:p w14:paraId="1E16454F">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6CF77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665" w:type="pct"/>
                  <w:vMerge w:val="restart"/>
                  <w:vAlign w:val="center"/>
                </w:tcPr>
                <w:p w14:paraId="0D09C829">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开发因素调整</w:t>
                  </w:r>
                </w:p>
              </w:tc>
              <w:tc>
                <w:tcPr>
                  <w:tcW w:w="1677" w:type="pct"/>
                  <w:vAlign w:val="center"/>
                </w:tcPr>
                <w:p w14:paraId="7525498C">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开发语言</w:t>
                  </w:r>
                </w:p>
              </w:tc>
              <w:tc>
                <w:tcPr>
                  <w:tcW w:w="1657" w:type="pct"/>
                  <w:vAlign w:val="center"/>
                </w:tcPr>
                <w:p w14:paraId="4ADB105B">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44B00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665" w:type="pct"/>
                  <w:vMerge w:val="continue"/>
                  <w:vAlign w:val="center"/>
                </w:tcPr>
                <w:p w14:paraId="5B92BCC3">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c>
                <w:tcPr>
                  <w:tcW w:w="1677" w:type="pct"/>
                  <w:vAlign w:val="center"/>
                </w:tcPr>
                <w:p w14:paraId="770A3A93">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开发团队背景</w:t>
                  </w:r>
                </w:p>
              </w:tc>
              <w:tc>
                <w:tcPr>
                  <w:tcW w:w="1657" w:type="pct"/>
                  <w:vAlign w:val="center"/>
                </w:tcPr>
                <w:p w14:paraId="5096BCC1">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2536C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37C36D93">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完整性级别调整因子</w:t>
                  </w:r>
                </w:p>
              </w:tc>
              <w:tc>
                <w:tcPr>
                  <w:tcW w:w="1657" w:type="pct"/>
                  <w:vAlign w:val="center"/>
                </w:tcPr>
                <w:p w14:paraId="5364F40C">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1DCD5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7007C249">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调整后工作量（单位：人天）</w:t>
                  </w:r>
                </w:p>
              </w:tc>
              <w:tc>
                <w:tcPr>
                  <w:tcW w:w="1657" w:type="pct"/>
                  <w:vAlign w:val="center"/>
                </w:tcPr>
                <w:p w14:paraId="34ADCC12">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4A892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00036A05">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取值范围</w:t>
                  </w:r>
                </w:p>
              </w:tc>
              <w:tc>
                <w:tcPr>
                  <w:tcW w:w="1657" w:type="pct"/>
                  <w:vAlign w:val="center"/>
                </w:tcPr>
                <w:p w14:paraId="5381FBC7">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5A25F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065D373C">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上限</w:t>
                  </w:r>
                </w:p>
              </w:tc>
              <w:tc>
                <w:tcPr>
                  <w:tcW w:w="1657" w:type="pct"/>
                  <w:vAlign w:val="center"/>
                </w:tcPr>
                <w:p w14:paraId="4E1821B6">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r w14:paraId="51BB9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3342" w:type="pct"/>
                  <w:gridSpan w:val="2"/>
                  <w:vAlign w:val="center"/>
                </w:tcPr>
                <w:p w14:paraId="7F7CC388">
                  <w:pPr>
                    <w:keepNext w:val="0"/>
                    <w:keepLines w:val="0"/>
                    <w:pageBreakBefore w:val="0"/>
                    <w:widowControl w:val="0"/>
                    <w:kinsoku/>
                    <w:wordWrap/>
                    <w:overflowPunct/>
                    <w:topLinePunct w:val="0"/>
                    <w:autoSpaceDE/>
                    <w:autoSpaceDN/>
                    <w:bidi w:val="0"/>
                    <w:adjustRightInd/>
                    <w:snapToGrid/>
                    <w:spacing w:line="240" w:lineRule="auto"/>
                    <w:jc w:val="center"/>
                    <w:textAlignment w:val="auto"/>
                  </w:pPr>
                  <w:r>
                    <w:rPr>
                      <w:rFonts w:hint="eastAsia"/>
                    </w:rPr>
                    <w:t>下限</w:t>
                  </w:r>
                </w:p>
              </w:tc>
              <w:tc>
                <w:tcPr>
                  <w:tcW w:w="1657" w:type="pct"/>
                  <w:vAlign w:val="center"/>
                </w:tcPr>
                <w:p w14:paraId="530A466E">
                  <w:pPr>
                    <w:keepNext w:val="0"/>
                    <w:keepLines w:val="0"/>
                    <w:pageBreakBefore w:val="0"/>
                    <w:widowControl w:val="0"/>
                    <w:kinsoku/>
                    <w:wordWrap/>
                    <w:overflowPunct/>
                    <w:topLinePunct w:val="0"/>
                    <w:autoSpaceDE/>
                    <w:autoSpaceDN/>
                    <w:bidi w:val="0"/>
                    <w:adjustRightInd/>
                    <w:snapToGrid/>
                    <w:spacing w:line="240" w:lineRule="auto"/>
                    <w:jc w:val="center"/>
                    <w:textAlignment w:val="auto"/>
                  </w:pPr>
                </w:p>
              </w:tc>
            </w:tr>
          </w:tbl>
          <w:p w14:paraId="385DFCD4">
            <w:pPr>
              <w:autoSpaceDE w:val="0"/>
              <w:autoSpaceDN w:val="0"/>
              <w:spacing w:line="240" w:lineRule="auto"/>
              <w:ind w:firstLine="420" w:firstLineChars="200"/>
              <w:jc w:val="left"/>
              <w:outlineLvl w:val="0"/>
              <w:rPr>
                <w:rFonts w:ascii="宋体"/>
                <w:szCs w:val="21"/>
              </w:rPr>
            </w:pPr>
            <w:r>
              <w:rPr>
                <w:rFonts w:ascii="宋体"/>
                <w:szCs w:val="21"/>
              </w:rPr>
              <w:t>经对功能需求进行开发工作量度量后，各功能对应的工作量如下表所示：</w:t>
            </w:r>
          </w:p>
          <w:p w14:paraId="01AADC70">
            <w:pPr>
              <w:autoSpaceDE w:val="0"/>
              <w:autoSpaceDN w:val="0"/>
              <w:spacing w:before="156" w:beforeLines="50" w:after="156" w:afterLines="50" w:line="240" w:lineRule="auto"/>
              <w:jc w:val="center"/>
              <w:rPr>
                <w:rFonts w:ascii="黑体" w:hAnsi="黑体" w:eastAsia="黑体" w:cs="黑体"/>
                <w:kern w:val="0"/>
                <w:szCs w:val="21"/>
              </w:rPr>
            </w:pPr>
            <w:r>
              <w:rPr>
                <w:rFonts w:hint="eastAsia" w:ascii="黑体" w:hAnsi="黑体" w:eastAsia="黑体" w:cs="黑体"/>
                <w:kern w:val="0"/>
                <w:szCs w:val="21"/>
              </w:rPr>
              <w:t>表6.3 工作量度量结果表</w:t>
            </w:r>
          </w:p>
          <w:tbl>
            <w:tblPr>
              <w:tblStyle w:val="3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1"/>
              <w:gridCol w:w="1628"/>
              <w:gridCol w:w="1984"/>
              <w:gridCol w:w="1384"/>
              <w:gridCol w:w="1298"/>
              <w:gridCol w:w="1369"/>
            </w:tblGrid>
            <w:tr w14:paraId="2D56E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pct"/>
                  <w:vMerge w:val="restart"/>
                  <w:vAlign w:val="center"/>
                </w:tcPr>
                <w:p w14:paraId="1A74F22A">
                  <w:pPr>
                    <w:spacing w:line="240" w:lineRule="auto"/>
                    <w:jc w:val="center"/>
                    <w:rPr>
                      <w:rFonts w:ascii="宋体"/>
                      <w:szCs w:val="21"/>
                    </w:rPr>
                  </w:pPr>
                  <w:r>
                    <w:rPr>
                      <w:rFonts w:ascii="宋体"/>
                      <w:szCs w:val="21"/>
                    </w:rPr>
                    <w:t>功能模块</w:t>
                  </w:r>
                </w:p>
              </w:tc>
              <w:tc>
                <w:tcPr>
                  <w:tcW w:w="892" w:type="pct"/>
                  <w:vMerge w:val="restart"/>
                  <w:vAlign w:val="center"/>
                </w:tcPr>
                <w:p w14:paraId="5DF899FA">
                  <w:pPr>
                    <w:spacing w:line="240" w:lineRule="auto"/>
                    <w:jc w:val="center"/>
                    <w:rPr>
                      <w:rFonts w:ascii="宋体"/>
                      <w:szCs w:val="21"/>
                    </w:rPr>
                  </w:pPr>
                  <w:r>
                    <w:rPr>
                      <w:rFonts w:ascii="宋体"/>
                      <w:szCs w:val="21"/>
                    </w:rPr>
                    <w:t>功能类型</w:t>
                  </w:r>
                </w:p>
              </w:tc>
              <w:tc>
                <w:tcPr>
                  <w:tcW w:w="1087" w:type="pct"/>
                  <w:vMerge w:val="restart"/>
                  <w:vAlign w:val="center"/>
                </w:tcPr>
                <w:p w14:paraId="39E50609">
                  <w:pPr>
                    <w:spacing w:line="240" w:lineRule="auto"/>
                    <w:jc w:val="center"/>
                    <w:rPr>
                      <w:rFonts w:ascii="宋体"/>
                      <w:szCs w:val="21"/>
                    </w:rPr>
                  </w:pPr>
                  <w:r>
                    <w:rPr>
                      <w:rFonts w:ascii="宋体"/>
                      <w:szCs w:val="21"/>
                    </w:rPr>
                    <w:t>基准功能点数</w:t>
                  </w:r>
                </w:p>
              </w:tc>
              <w:tc>
                <w:tcPr>
                  <w:tcW w:w="2219" w:type="pct"/>
                  <w:gridSpan w:val="3"/>
                  <w:vAlign w:val="center"/>
                </w:tcPr>
                <w:p w14:paraId="6AD97D0E">
                  <w:pPr>
                    <w:spacing w:line="240" w:lineRule="auto"/>
                    <w:jc w:val="center"/>
                    <w:rPr>
                      <w:rFonts w:ascii="宋体"/>
                      <w:szCs w:val="21"/>
                    </w:rPr>
                  </w:pPr>
                  <w:r>
                    <w:rPr>
                      <w:rFonts w:ascii="宋体"/>
                      <w:szCs w:val="21"/>
                    </w:rPr>
                    <w:t>核定工作量（单位：人天）</w:t>
                  </w:r>
                </w:p>
              </w:tc>
            </w:tr>
            <w:tr w14:paraId="34AEF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pct"/>
                  <w:vMerge w:val="continue"/>
                  <w:vAlign w:val="center"/>
                </w:tcPr>
                <w:p w14:paraId="18850245">
                  <w:pPr>
                    <w:spacing w:line="240" w:lineRule="auto"/>
                    <w:jc w:val="center"/>
                    <w:rPr>
                      <w:rFonts w:ascii="宋体"/>
                      <w:szCs w:val="21"/>
                    </w:rPr>
                  </w:pPr>
                </w:p>
              </w:tc>
              <w:tc>
                <w:tcPr>
                  <w:tcW w:w="892" w:type="pct"/>
                  <w:vMerge w:val="continue"/>
                  <w:vAlign w:val="center"/>
                </w:tcPr>
                <w:p w14:paraId="35DED8CA">
                  <w:pPr>
                    <w:spacing w:line="240" w:lineRule="auto"/>
                    <w:jc w:val="center"/>
                    <w:rPr>
                      <w:rFonts w:ascii="宋体"/>
                      <w:szCs w:val="21"/>
                    </w:rPr>
                  </w:pPr>
                </w:p>
              </w:tc>
              <w:tc>
                <w:tcPr>
                  <w:tcW w:w="1087" w:type="pct"/>
                  <w:vMerge w:val="continue"/>
                  <w:vAlign w:val="center"/>
                </w:tcPr>
                <w:p w14:paraId="525FAD4B">
                  <w:pPr>
                    <w:spacing w:line="240" w:lineRule="auto"/>
                    <w:jc w:val="center"/>
                    <w:rPr>
                      <w:rFonts w:ascii="宋体"/>
                      <w:szCs w:val="21"/>
                    </w:rPr>
                  </w:pPr>
                </w:p>
              </w:tc>
              <w:tc>
                <w:tcPr>
                  <w:tcW w:w="758" w:type="pct"/>
                  <w:vAlign w:val="center"/>
                </w:tcPr>
                <w:p w14:paraId="397A4440">
                  <w:pPr>
                    <w:spacing w:line="240" w:lineRule="auto"/>
                    <w:jc w:val="center"/>
                    <w:rPr>
                      <w:rFonts w:ascii="宋体"/>
                      <w:szCs w:val="21"/>
                    </w:rPr>
                  </w:pPr>
                  <w:r>
                    <w:rPr>
                      <w:rFonts w:ascii="宋体"/>
                      <w:szCs w:val="21"/>
                    </w:rPr>
                    <w:t>下限</w:t>
                  </w:r>
                </w:p>
              </w:tc>
              <w:tc>
                <w:tcPr>
                  <w:tcW w:w="711" w:type="pct"/>
                  <w:vAlign w:val="center"/>
                </w:tcPr>
                <w:p w14:paraId="01D2BA18">
                  <w:pPr>
                    <w:spacing w:line="240" w:lineRule="auto"/>
                    <w:jc w:val="center"/>
                    <w:rPr>
                      <w:rFonts w:ascii="宋体"/>
                      <w:szCs w:val="21"/>
                    </w:rPr>
                  </w:pPr>
                  <w:r>
                    <w:rPr>
                      <w:rFonts w:ascii="宋体"/>
                      <w:szCs w:val="21"/>
                    </w:rPr>
                    <w:t>基准</w:t>
                  </w:r>
                </w:p>
              </w:tc>
              <w:tc>
                <w:tcPr>
                  <w:tcW w:w="749" w:type="pct"/>
                  <w:vAlign w:val="center"/>
                </w:tcPr>
                <w:p w14:paraId="603434DD">
                  <w:pPr>
                    <w:spacing w:line="240" w:lineRule="auto"/>
                    <w:jc w:val="center"/>
                    <w:rPr>
                      <w:rFonts w:ascii="宋体"/>
                      <w:szCs w:val="21"/>
                    </w:rPr>
                  </w:pPr>
                  <w:r>
                    <w:rPr>
                      <w:rFonts w:ascii="宋体"/>
                      <w:szCs w:val="21"/>
                    </w:rPr>
                    <w:t>上限</w:t>
                  </w:r>
                </w:p>
              </w:tc>
            </w:tr>
            <w:tr w14:paraId="5F49D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pct"/>
                  <w:vAlign w:val="center"/>
                </w:tcPr>
                <w:p w14:paraId="5AA235DE">
                  <w:pPr>
                    <w:spacing w:line="240" w:lineRule="auto"/>
                    <w:jc w:val="center"/>
                    <w:rPr>
                      <w:rFonts w:ascii="宋体"/>
                      <w:szCs w:val="21"/>
                    </w:rPr>
                  </w:pPr>
                </w:p>
              </w:tc>
              <w:tc>
                <w:tcPr>
                  <w:tcW w:w="892" w:type="pct"/>
                  <w:vAlign w:val="center"/>
                </w:tcPr>
                <w:p w14:paraId="5C21527B">
                  <w:pPr>
                    <w:spacing w:line="240" w:lineRule="auto"/>
                    <w:jc w:val="center"/>
                    <w:rPr>
                      <w:rFonts w:ascii="宋体"/>
                      <w:szCs w:val="21"/>
                    </w:rPr>
                  </w:pPr>
                  <w:r>
                    <w:rPr>
                      <w:rFonts w:ascii="宋体"/>
                      <w:szCs w:val="21"/>
                    </w:rPr>
                    <w:t>功能需求</w:t>
                  </w:r>
                </w:p>
              </w:tc>
              <w:tc>
                <w:tcPr>
                  <w:tcW w:w="1087" w:type="pct"/>
                  <w:vAlign w:val="center"/>
                </w:tcPr>
                <w:p w14:paraId="43B2A744">
                  <w:pPr>
                    <w:spacing w:line="240" w:lineRule="auto"/>
                    <w:jc w:val="center"/>
                    <w:rPr>
                      <w:rFonts w:ascii="宋体"/>
                      <w:szCs w:val="21"/>
                    </w:rPr>
                  </w:pPr>
                </w:p>
              </w:tc>
              <w:tc>
                <w:tcPr>
                  <w:tcW w:w="758" w:type="pct"/>
                  <w:vAlign w:val="center"/>
                </w:tcPr>
                <w:p w14:paraId="4668AD4C">
                  <w:pPr>
                    <w:spacing w:line="240" w:lineRule="auto"/>
                    <w:jc w:val="center"/>
                    <w:rPr>
                      <w:rFonts w:ascii="宋体"/>
                      <w:szCs w:val="21"/>
                    </w:rPr>
                  </w:pPr>
                </w:p>
              </w:tc>
              <w:tc>
                <w:tcPr>
                  <w:tcW w:w="711" w:type="pct"/>
                  <w:vAlign w:val="center"/>
                </w:tcPr>
                <w:p w14:paraId="69028FE4">
                  <w:pPr>
                    <w:spacing w:line="240" w:lineRule="auto"/>
                    <w:jc w:val="center"/>
                    <w:rPr>
                      <w:rFonts w:ascii="宋体"/>
                      <w:szCs w:val="21"/>
                    </w:rPr>
                  </w:pPr>
                </w:p>
              </w:tc>
              <w:tc>
                <w:tcPr>
                  <w:tcW w:w="749" w:type="pct"/>
                  <w:vAlign w:val="center"/>
                </w:tcPr>
                <w:p w14:paraId="03CE59F4">
                  <w:pPr>
                    <w:spacing w:line="240" w:lineRule="auto"/>
                    <w:jc w:val="center"/>
                    <w:rPr>
                      <w:rFonts w:ascii="宋体"/>
                      <w:szCs w:val="21"/>
                    </w:rPr>
                  </w:pPr>
                </w:p>
              </w:tc>
            </w:tr>
            <w:tr w14:paraId="4A81D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pct"/>
                  <w:vAlign w:val="center"/>
                </w:tcPr>
                <w:p w14:paraId="4FC14FCD">
                  <w:pPr>
                    <w:spacing w:line="240" w:lineRule="auto"/>
                    <w:jc w:val="center"/>
                    <w:rPr>
                      <w:rFonts w:ascii="宋体"/>
                      <w:szCs w:val="21"/>
                    </w:rPr>
                  </w:pPr>
                </w:p>
              </w:tc>
              <w:tc>
                <w:tcPr>
                  <w:tcW w:w="892" w:type="pct"/>
                  <w:vAlign w:val="center"/>
                </w:tcPr>
                <w:p w14:paraId="0AEBC92A">
                  <w:pPr>
                    <w:spacing w:line="240" w:lineRule="auto"/>
                    <w:jc w:val="center"/>
                    <w:rPr>
                      <w:rFonts w:ascii="宋体"/>
                      <w:szCs w:val="21"/>
                    </w:rPr>
                  </w:pPr>
                  <w:r>
                    <w:rPr>
                      <w:rFonts w:ascii="宋体"/>
                      <w:szCs w:val="21"/>
                    </w:rPr>
                    <w:t>功能需求</w:t>
                  </w:r>
                </w:p>
              </w:tc>
              <w:tc>
                <w:tcPr>
                  <w:tcW w:w="1087" w:type="pct"/>
                  <w:vAlign w:val="center"/>
                </w:tcPr>
                <w:p w14:paraId="554578F0">
                  <w:pPr>
                    <w:spacing w:line="240" w:lineRule="auto"/>
                    <w:jc w:val="center"/>
                    <w:rPr>
                      <w:rFonts w:ascii="宋体"/>
                      <w:szCs w:val="21"/>
                    </w:rPr>
                  </w:pPr>
                </w:p>
              </w:tc>
              <w:tc>
                <w:tcPr>
                  <w:tcW w:w="758" w:type="pct"/>
                  <w:vAlign w:val="center"/>
                </w:tcPr>
                <w:p w14:paraId="0771E3D3">
                  <w:pPr>
                    <w:spacing w:line="240" w:lineRule="auto"/>
                    <w:jc w:val="center"/>
                    <w:rPr>
                      <w:rFonts w:ascii="宋体"/>
                      <w:szCs w:val="21"/>
                    </w:rPr>
                  </w:pPr>
                </w:p>
              </w:tc>
              <w:tc>
                <w:tcPr>
                  <w:tcW w:w="711" w:type="pct"/>
                  <w:vAlign w:val="center"/>
                </w:tcPr>
                <w:p w14:paraId="6E59262D">
                  <w:pPr>
                    <w:spacing w:line="240" w:lineRule="auto"/>
                    <w:jc w:val="center"/>
                    <w:rPr>
                      <w:rFonts w:ascii="宋体"/>
                      <w:szCs w:val="21"/>
                    </w:rPr>
                  </w:pPr>
                </w:p>
              </w:tc>
              <w:tc>
                <w:tcPr>
                  <w:tcW w:w="749" w:type="pct"/>
                  <w:vAlign w:val="center"/>
                </w:tcPr>
                <w:p w14:paraId="670D752C">
                  <w:pPr>
                    <w:spacing w:line="240" w:lineRule="auto"/>
                    <w:jc w:val="center"/>
                    <w:rPr>
                      <w:rFonts w:ascii="宋体"/>
                      <w:szCs w:val="21"/>
                    </w:rPr>
                  </w:pPr>
                </w:p>
              </w:tc>
            </w:tr>
            <w:tr w14:paraId="3B79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3" w:type="pct"/>
                  <w:gridSpan w:val="2"/>
                  <w:vAlign w:val="center"/>
                </w:tcPr>
                <w:p w14:paraId="56321024">
                  <w:pPr>
                    <w:spacing w:line="240" w:lineRule="auto"/>
                    <w:jc w:val="center"/>
                    <w:rPr>
                      <w:rFonts w:ascii="宋体"/>
                      <w:szCs w:val="21"/>
                    </w:rPr>
                  </w:pPr>
                  <w:r>
                    <w:rPr>
                      <w:rFonts w:ascii="宋体"/>
                      <w:szCs w:val="21"/>
                    </w:rPr>
                    <w:t>合计</w:t>
                  </w:r>
                </w:p>
              </w:tc>
              <w:tc>
                <w:tcPr>
                  <w:tcW w:w="1087" w:type="pct"/>
                  <w:vAlign w:val="center"/>
                </w:tcPr>
                <w:p w14:paraId="65352D35">
                  <w:pPr>
                    <w:spacing w:line="240" w:lineRule="auto"/>
                    <w:jc w:val="center"/>
                    <w:rPr>
                      <w:rFonts w:ascii="宋体"/>
                      <w:szCs w:val="21"/>
                    </w:rPr>
                  </w:pPr>
                </w:p>
              </w:tc>
              <w:tc>
                <w:tcPr>
                  <w:tcW w:w="758" w:type="pct"/>
                  <w:vAlign w:val="center"/>
                </w:tcPr>
                <w:p w14:paraId="75A11493">
                  <w:pPr>
                    <w:spacing w:line="240" w:lineRule="auto"/>
                    <w:jc w:val="center"/>
                    <w:rPr>
                      <w:rFonts w:ascii="宋体"/>
                      <w:szCs w:val="21"/>
                    </w:rPr>
                  </w:pPr>
                </w:p>
              </w:tc>
              <w:tc>
                <w:tcPr>
                  <w:tcW w:w="711" w:type="pct"/>
                  <w:vAlign w:val="center"/>
                </w:tcPr>
                <w:p w14:paraId="19C56FAF">
                  <w:pPr>
                    <w:spacing w:line="240" w:lineRule="auto"/>
                    <w:jc w:val="center"/>
                    <w:rPr>
                      <w:rFonts w:ascii="宋体"/>
                      <w:szCs w:val="21"/>
                    </w:rPr>
                  </w:pPr>
                </w:p>
              </w:tc>
              <w:tc>
                <w:tcPr>
                  <w:tcW w:w="749" w:type="pct"/>
                  <w:vAlign w:val="center"/>
                </w:tcPr>
                <w:p w14:paraId="6D55EA22">
                  <w:pPr>
                    <w:spacing w:line="240" w:lineRule="auto"/>
                    <w:jc w:val="center"/>
                    <w:rPr>
                      <w:rFonts w:ascii="宋体"/>
                      <w:szCs w:val="21"/>
                    </w:rPr>
                  </w:pPr>
                </w:p>
              </w:tc>
            </w:tr>
          </w:tbl>
          <w:p w14:paraId="638B6CA9">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6.4 成本度量</w:t>
            </w:r>
          </w:p>
          <w:p w14:paraId="17ED6CF6">
            <w:pPr>
              <w:autoSpaceDE w:val="0"/>
              <w:autoSpaceDN w:val="0"/>
              <w:spacing w:line="240" w:lineRule="auto"/>
              <w:ind w:firstLine="412" w:firstLineChars="200"/>
              <w:jc w:val="left"/>
              <w:outlineLvl w:val="0"/>
              <w:rPr>
                <w:rFonts w:ascii="宋体"/>
                <w:szCs w:val="21"/>
              </w:rPr>
            </w:pPr>
            <w:r>
              <w:rPr>
                <w:rFonts w:ascii="宋体"/>
                <w:spacing w:val="-2"/>
                <w:kern w:val="0"/>
                <w:szCs w:val="21"/>
              </w:rPr>
              <w:t>成本度量所采用的方法及度量结果，示例如下。</w:t>
            </w:r>
          </w:p>
          <w:p w14:paraId="5C5D3842">
            <w:pPr>
              <w:pStyle w:val="9"/>
              <w:spacing w:after="0" w:line="240" w:lineRule="auto"/>
              <w:ind w:firstLine="420" w:firstLineChars="200"/>
              <w:rPr>
                <w:rFonts w:ascii="宋体"/>
                <w:i/>
                <w:iCs/>
                <w:szCs w:val="21"/>
              </w:rPr>
            </w:pPr>
            <w:r>
              <w:rPr>
                <w:rFonts w:ascii="宋体"/>
                <w:szCs w:val="21"/>
              </w:rPr>
              <w:t>成本度量公式</w:t>
            </w:r>
            <w:r>
              <w:rPr>
                <w:rFonts w:hint="eastAsia" w:ascii="宋体"/>
                <w:szCs w:val="21"/>
              </w:rPr>
              <w:t>为：</w:t>
            </w:r>
            <w:r>
              <w:rPr>
                <w:rFonts w:hint="eastAsia" w:ascii="宋体"/>
                <w:i/>
                <w:iCs/>
                <w:szCs w:val="21"/>
              </w:rPr>
              <w:t>SDC=AE*F+DNC</w:t>
            </w:r>
          </w:p>
          <w:p w14:paraId="71B70B6A">
            <w:pPr>
              <w:pStyle w:val="9"/>
              <w:spacing w:after="0" w:line="240" w:lineRule="auto"/>
              <w:ind w:firstLine="420" w:firstLineChars="200"/>
              <w:rPr>
                <w:rFonts w:ascii="宋体"/>
                <w:szCs w:val="21"/>
              </w:rPr>
            </w:pPr>
            <w:r>
              <w:rPr>
                <w:rFonts w:ascii="宋体"/>
                <w:szCs w:val="21"/>
              </w:rPr>
              <w:t>其中：</w:t>
            </w:r>
          </w:p>
          <w:p w14:paraId="76F7DFF4">
            <w:pPr>
              <w:pStyle w:val="142"/>
              <w:wordWrap w:val="0"/>
              <w:spacing w:line="240" w:lineRule="auto"/>
              <w:ind w:firstLine="420"/>
              <w:rPr>
                <w:rFonts w:ascii="Times New Roman"/>
                <w:szCs w:val="21"/>
              </w:rPr>
            </w:pPr>
            <w:r>
              <w:rPr>
                <w:rFonts w:hint="eastAsia" w:ascii="Times New Roman"/>
                <w:i/>
                <w:iCs/>
                <w:szCs w:val="21"/>
              </w:rPr>
              <w:t>SDC</w:t>
            </w:r>
            <w:r>
              <w:rPr>
                <w:rFonts w:ascii="Times New Roman"/>
                <w:szCs w:val="21"/>
              </w:rPr>
              <w:t>——</w:t>
            </w:r>
            <w:r>
              <w:rPr>
                <w:rFonts w:hint="eastAsia" w:ascii="Times New Roman"/>
                <w:szCs w:val="21"/>
              </w:rPr>
              <w:t>软件开发成本，单位为元；</w:t>
            </w:r>
          </w:p>
          <w:p w14:paraId="6AE12F55">
            <w:pPr>
              <w:pStyle w:val="142"/>
              <w:wordWrap w:val="0"/>
              <w:spacing w:line="240" w:lineRule="auto"/>
              <w:ind w:firstLine="420"/>
              <w:rPr>
                <w:rFonts w:ascii="Times New Roman"/>
                <w:szCs w:val="21"/>
              </w:rPr>
            </w:pPr>
            <w:r>
              <w:rPr>
                <w:rFonts w:hint="eastAsia" w:ascii="Times New Roman"/>
                <w:i/>
                <w:iCs/>
                <w:szCs w:val="21"/>
              </w:rPr>
              <w:t>AE</w:t>
            </w:r>
            <w:r>
              <w:rPr>
                <w:rFonts w:ascii="Times New Roman"/>
                <w:szCs w:val="21"/>
              </w:rPr>
              <w:t>——软件基准工作量</w:t>
            </w:r>
            <w:r>
              <w:rPr>
                <w:rFonts w:hint="eastAsia" w:ascii="Times New Roman"/>
                <w:szCs w:val="21"/>
              </w:rPr>
              <w:t>，单位为人天；</w:t>
            </w:r>
          </w:p>
          <w:p w14:paraId="3EBF278A">
            <w:pPr>
              <w:pStyle w:val="142"/>
              <w:wordWrap w:val="0"/>
              <w:spacing w:line="240" w:lineRule="auto"/>
              <w:ind w:firstLine="420"/>
              <w:rPr>
                <w:rFonts w:ascii="Times New Roman"/>
                <w:szCs w:val="21"/>
              </w:rPr>
            </w:pPr>
            <w:r>
              <w:rPr>
                <w:rFonts w:hint="eastAsia" w:ascii="Times New Roman"/>
                <w:i/>
                <w:iCs/>
                <w:szCs w:val="21"/>
              </w:rPr>
              <w:t>FR</w:t>
            </w:r>
            <w:r>
              <w:rPr>
                <w:rFonts w:ascii="Times New Roman"/>
                <w:szCs w:val="21"/>
              </w:rPr>
              <w:t>——</w:t>
            </w:r>
            <w:r>
              <w:rPr>
                <w:rFonts w:hint="eastAsia" w:ascii="Times New Roman"/>
                <w:szCs w:val="21"/>
              </w:rPr>
              <w:t>综合人天单价，单位为元/人天；</w:t>
            </w:r>
          </w:p>
          <w:p w14:paraId="4BD6B4DB">
            <w:pPr>
              <w:pStyle w:val="142"/>
              <w:wordWrap w:val="0"/>
              <w:spacing w:line="240" w:lineRule="auto"/>
              <w:ind w:firstLine="420"/>
              <w:rPr>
                <w:szCs w:val="21"/>
              </w:rPr>
            </w:pPr>
            <w:r>
              <w:rPr>
                <w:rFonts w:hint="eastAsia" w:ascii="Times New Roman"/>
                <w:i/>
                <w:iCs/>
                <w:szCs w:val="21"/>
              </w:rPr>
              <w:t>DNC</w:t>
            </w:r>
            <w:r>
              <w:rPr>
                <w:rFonts w:ascii="Times New Roman"/>
                <w:szCs w:val="21"/>
              </w:rPr>
              <w:t>——直接非人力成本</w:t>
            </w:r>
            <w:r>
              <w:rPr>
                <w:rFonts w:hint="eastAsia" w:ascii="Times New Roman"/>
                <w:szCs w:val="21"/>
              </w:rPr>
              <w:t>，单位为元。</w:t>
            </w:r>
          </w:p>
          <w:p w14:paraId="55D15A5B">
            <w:pPr>
              <w:pStyle w:val="10"/>
              <w:spacing w:after="0" w:line="240" w:lineRule="auto"/>
              <w:ind w:left="0" w:leftChars="0" w:firstLine="420" w:firstLineChars="200"/>
              <w:rPr>
                <w:rFonts w:ascii="宋体"/>
                <w:szCs w:val="21"/>
              </w:rPr>
            </w:pPr>
            <w:r>
              <w:rPr>
                <w:rFonts w:ascii="宋体"/>
                <w:szCs w:val="21"/>
              </w:rPr>
              <w:t>基于以上度量公式，软件基准工作量为开发工作量度量阶段结果；</w:t>
            </w:r>
            <w:r>
              <w:rPr>
                <w:rFonts w:hint="eastAsia" w:ascii="宋体"/>
                <w:szCs w:val="21"/>
              </w:rPr>
              <w:t>综合人天单价</w:t>
            </w:r>
            <w:r>
              <w:rPr>
                <w:rFonts w:ascii="宋体"/>
                <w:szCs w:val="21"/>
              </w:rPr>
              <w:t>取自中国软件行业基准数据报告（SSM-BK-202309）。DNC（直接非人力成本）包括办公费、差旅费、业务费、采购费，及未在以上项目列出但却是开发方为开发此项目所需花费的费用，与委托方协商取定为0。</w:t>
            </w:r>
          </w:p>
          <w:p w14:paraId="259BDE31">
            <w:pPr>
              <w:pStyle w:val="10"/>
              <w:spacing w:after="0" w:line="240" w:lineRule="auto"/>
              <w:rPr>
                <w:rFonts w:ascii="宋体"/>
                <w:szCs w:val="21"/>
              </w:rPr>
            </w:pPr>
            <w:r>
              <w:rPr>
                <w:rFonts w:ascii="宋体"/>
                <w:szCs w:val="21"/>
              </w:rPr>
              <w:t>此项目的成本为**万元，取10%的浮动数值，介于**万元到**万元之间的投资均为合理投资范围。</w:t>
            </w:r>
          </w:p>
          <w:p w14:paraId="3418F860">
            <w:pPr>
              <w:pStyle w:val="10"/>
              <w:spacing w:after="0" w:line="240" w:lineRule="auto"/>
              <w:rPr>
                <w:rFonts w:ascii="宋体"/>
                <w:szCs w:val="21"/>
              </w:rPr>
            </w:pPr>
            <w:r>
              <w:rPr>
                <w:rFonts w:ascii="宋体"/>
                <w:szCs w:val="21"/>
              </w:rPr>
              <w:t>各功能的度量结果如下表所示：</w:t>
            </w:r>
          </w:p>
          <w:p w14:paraId="6CA4933D">
            <w:pPr>
              <w:autoSpaceDE w:val="0"/>
              <w:autoSpaceDN w:val="0"/>
              <w:spacing w:before="156" w:beforeLines="50" w:after="156" w:afterLines="50" w:line="240" w:lineRule="auto"/>
              <w:jc w:val="center"/>
              <w:rPr>
                <w:rFonts w:ascii="黑体" w:hAnsi="黑体" w:eastAsia="黑体" w:cs="黑体"/>
                <w:kern w:val="0"/>
                <w:szCs w:val="21"/>
              </w:rPr>
            </w:pPr>
            <w:r>
              <w:rPr>
                <w:rFonts w:hint="eastAsia" w:ascii="黑体" w:hAnsi="黑体" w:eastAsia="黑体" w:cs="黑体"/>
                <w:kern w:val="0"/>
                <w:szCs w:val="21"/>
              </w:rPr>
              <w:t>表6.4 成本度量结果表</w:t>
            </w:r>
          </w:p>
          <w:tbl>
            <w:tblPr>
              <w:tblStyle w:val="3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2"/>
              <w:gridCol w:w="1628"/>
              <w:gridCol w:w="2287"/>
              <w:gridCol w:w="1364"/>
              <w:gridCol w:w="1150"/>
              <w:gridCol w:w="1233"/>
            </w:tblGrid>
            <w:tr w14:paraId="28D26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01" w:type="pct"/>
                  <w:vMerge w:val="restart"/>
                  <w:vAlign w:val="center"/>
                </w:tcPr>
                <w:p w14:paraId="6B9C3F75">
                  <w:pPr>
                    <w:spacing w:line="240" w:lineRule="auto"/>
                    <w:jc w:val="center"/>
                    <w:rPr>
                      <w:rFonts w:ascii="宋体" w:hAnsi="宋体" w:cs="宋体"/>
                      <w:szCs w:val="21"/>
                    </w:rPr>
                  </w:pPr>
                  <w:r>
                    <w:rPr>
                      <w:rFonts w:hint="eastAsia" w:ascii="宋体" w:hAnsi="宋体" w:cs="宋体"/>
                      <w:szCs w:val="21"/>
                    </w:rPr>
                    <w:t>功能模块</w:t>
                  </w:r>
                </w:p>
              </w:tc>
              <w:tc>
                <w:tcPr>
                  <w:tcW w:w="891" w:type="pct"/>
                  <w:vMerge w:val="restart"/>
                  <w:vAlign w:val="center"/>
                </w:tcPr>
                <w:p w14:paraId="5EF2675D">
                  <w:pPr>
                    <w:spacing w:line="240" w:lineRule="auto"/>
                    <w:jc w:val="center"/>
                    <w:rPr>
                      <w:rFonts w:ascii="宋体" w:hAnsi="宋体" w:cs="宋体"/>
                      <w:szCs w:val="21"/>
                    </w:rPr>
                  </w:pPr>
                  <w:r>
                    <w:rPr>
                      <w:rFonts w:hint="eastAsia" w:ascii="宋体" w:hAnsi="宋体" w:cs="宋体"/>
                      <w:szCs w:val="21"/>
                    </w:rPr>
                    <w:t>功能类型</w:t>
                  </w:r>
                </w:p>
              </w:tc>
              <w:tc>
                <w:tcPr>
                  <w:tcW w:w="1253" w:type="pct"/>
                  <w:vMerge w:val="restart"/>
                  <w:vAlign w:val="center"/>
                </w:tcPr>
                <w:p w14:paraId="11BE1F1B">
                  <w:pPr>
                    <w:spacing w:line="240" w:lineRule="auto"/>
                    <w:jc w:val="center"/>
                    <w:rPr>
                      <w:rFonts w:ascii="宋体" w:hAnsi="宋体" w:cs="宋体"/>
                      <w:szCs w:val="21"/>
                    </w:rPr>
                  </w:pPr>
                  <w:r>
                    <w:rPr>
                      <w:rFonts w:hint="eastAsia" w:ascii="宋体" w:hAnsi="宋体" w:cs="宋体"/>
                      <w:szCs w:val="21"/>
                    </w:rPr>
                    <w:t>人天单价</w:t>
                  </w:r>
                </w:p>
                <w:p w14:paraId="52928ABC">
                  <w:pPr>
                    <w:spacing w:line="240" w:lineRule="auto"/>
                    <w:jc w:val="center"/>
                    <w:rPr>
                      <w:rFonts w:ascii="宋体" w:hAnsi="宋体" w:cs="宋体"/>
                      <w:szCs w:val="21"/>
                    </w:rPr>
                  </w:pPr>
                  <w:r>
                    <w:rPr>
                      <w:rFonts w:hint="eastAsia" w:ascii="宋体" w:hAnsi="宋体" w:cs="宋体"/>
                      <w:szCs w:val="21"/>
                    </w:rPr>
                    <w:t>（单位：元/人天）</w:t>
                  </w:r>
                </w:p>
              </w:tc>
              <w:tc>
                <w:tcPr>
                  <w:tcW w:w="2052" w:type="pct"/>
                  <w:gridSpan w:val="3"/>
                  <w:vAlign w:val="center"/>
                </w:tcPr>
                <w:p w14:paraId="487D2408">
                  <w:pPr>
                    <w:spacing w:line="240" w:lineRule="auto"/>
                    <w:jc w:val="center"/>
                    <w:rPr>
                      <w:rFonts w:ascii="宋体" w:hAnsi="宋体" w:cs="宋体"/>
                      <w:szCs w:val="21"/>
                    </w:rPr>
                  </w:pPr>
                  <w:r>
                    <w:rPr>
                      <w:rFonts w:hint="eastAsia" w:ascii="宋体" w:hAnsi="宋体" w:cs="宋体"/>
                      <w:szCs w:val="21"/>
                    </w:rPr>
                    <w:t>核定投资（单位：万元）</w:t>
                  </w:r>
                </w:p>
              </w:tc>
            </w:tr>
            <w:tr w14:paraId="7758A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01" w:type="pct"/>
                  <w:vMerge w:val="continue"/>
                  <w:vAlign w:val="center"/>
                </w:tcPr>
                <w:p w14:paraId="75EEA189">
                  <w:pPr>
                    <w:spacing w:line="240" w:lineRule="auto"/>
                    <w:jc w:val="center"/>
                    <w:rPr>
                      <w:rFonts w:ascii="宋体" w:hAnsi="宋体" w:cs="宋体"/>
                      <w:szCs w:val="21"/>
                    </w:rPr>
                  </w:pPr>
                </w:p>
              </w:tc>
              <w:tc>
                <w:tcPr>
                  <w:tcW w:w="891" w:type="pct"/>
                  <w:vMerge w:val="continue"/>
                  <w:vAlign w:val="center"/>
                </w:tcPr>
                <w:p w14:paraId="6B8623C9">
                  <w:pPr>
                    <w:spacing w:line="240" w:lineRule="auto"/>
                    <w:jc w:val="center"/>
                    <w:rPr>
                      <w:rFonts w:ascii="宋体" w:hAnsi="宋体" w:cs="宋体"/>
                      <w:szCs w:val="21"/>
                    </w:rPr>
                  </w:pPr>
                </w:p>
              </w:tc>
              <w:tc>
                <w:tcPr>
                  <w:tcW w:w="1253" w:type="pct"/>
                  <w:vMerge w:val="continue"/>
                  <w:vAlign w:val="center"/>
                </w:tcPr>
                <w:p w14:paraId="130BB021">
                  <w:pPr>
                    <w:spacing w:line="240" w:lineRule="auto"/>
                    <w:jc w:val="center"/>
                    <w:rPr>
                      <w:rFonts w:ascii="宋体" w:hAnsi="宋体" w:cs="宋体"/>
                      <w:szCs w:val="21"/>
                    </w:rPr>
                  </w:pPr>
                </w:p>
              </w:tc>
              <w:tc>
                <w:tcPr>
                  <w:tcW w:w="747" w:type="pct"/>
                  <w:vAlign w:val="center"/>
                </w:tcPr>
                <w:p w14:paraId="54ECEA57">
                  <w:pPr>
                    <w:spacing w:line="240" w:lineRule="auto"/>
                    <w:jc w:val="center"/>
                    <w:rPr>
                      <w:rFonts w:ascii="宋体" w:hAnsi="宋体" w:cs="宋体"/>
                      <w:szCs w:val="21"/>
                    </w:rPr>
                  </w:pPr>
                  <w:r>
                    <w:rPr>
                      <w:rFonts w:hint="eastAsia" w:ascii="宋体" w:hAnsi="宋体" w:cs="宋体"/>
                      <w:szCs w:val="21"/>
                    </w:rPr>
                    <w:t>下限</w:t>
                  </w:r>
                </w:p>
              </w:tc>
              <w:tc>
                <w:tcPr>
                  <w:tcW w:w="630" w:type="pct"/>
                  <w:vAlign w:val="center"/>
                </w:tcPr>
                <w:p w14:paraId="4AE106AF">
                  <w:pPr>
                    <w:spacing w:line="240" w:lineRule="auto"/>
                    <w:jc w:val="center"/>
                    <w:rPr>
                      <w:rFonts w:ascii="宋体" w:hAnsi="宋体" w:cs="宋体"/>
                      <w:szCs w:val="21"/>
                    </w:rPr>
                  </w:pPr>
                  <w:r>
                    <w:rPr>
                      <w:rFonts w:hint="eastAsia" w:ascii="宋体" w:hAnsi="宋体" w:cs="宋体"/>
                      <w:szCs w:val="21"/>
                    </w:rPr>
                    <w:t>基准</w:t>
                  </w:r>
                </w:p>
              </w:tc>
              <w:tc>
                <w:tcPr>
                  <w:tcW w:w="674" w:type="pct"/>
                  <w:vAlign w:val="center"/>
                </w:tcPr>
                <w:p w14:paraId="1ECCE2A4">
                  <w:pPr>
                    <w:spacing w:line="240" w:lineRule="auto"/>
                    <w:jc w:val="center"/>
                    <w:rPr>
                      <w:rFonts w:ascii="宋体" w:hAnsi="宋体" w:cs="宋体"/>
                      <w:szCs w:val="21"/>
                    </w:rPr>
                  </w:pPr>
                  <w:r>
                    <w:rPr>
                      <w:rFonts w:hint="eastAsia" w:ascii="宋体" w:hAnsi="宋体" w:cs="宋体"/>
                      <w:szCs w:val="21"/>
                    </w:rPr>
                    <w:t>上限</w:t>
                  </w:r>
                </w:p>
              </w:tc>
            </w:tr>
            <w:tr w14:paraId="038D7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01" w:type="pct"/>
                  <w:vAlign w:val="center"/>
                </w:tcPr>
                <w:p w14:paraId="53838DCF">
                  <w:pPr>
                    <w:spacing w:line="240" w:lineRule="auto"/>
                    <w:jc w:val="center"/>
                    <w:rPr>
                      <w:rFonts w:ascii="宋体" w:hAnsi="宋体" w:cs="宋体"/>
                      <w:szCs w:val="21"/>
                    </w:rPr>
                  </w:pPr>
                </w:p>
              </w:tc>
              <w:tc>
                <w:tcPr>
                  <w:tcW w:w="891" w:type="pct"/>
                  <w:vAlign w:val="center"/>
                </w:tcPr>
                <w:p w14:paraId="2060D4B0">
                  <w:pPr>
                    <w:spacing w:line="240" w:lineRule="auto"/>
                    <w:jc w:val="center"/>
                    <w:rPr>
                      <w:rFonts w:ascii="宋体" w:hAnsi="宋体" w:cs="宋体"/>
                      <w:szCs w:val="21"/>
                    </w:rPr>
                  </w:pPr>
                  <w:r>
                    <w:rPr>
                      <w:rFonts w:hint="eastAsia" w:ascii="宋体" w:hAnsi="宋体" w:cs="宋体"/>
                      <w:szCs w:val="21"/>
                    </w:rPr>
                    <w:t>功能需求</w:t>
                  </w:r>
                </w:p>
              </w:tc>
              <w:tc>
                <w:tcPr>
                  <w:tcW w:w="1253" w:type="pct"/>
                  <w:vAlign w:val="center"/>
                </w:tcPr>
                <w:p w14:paraId="3E13F954">
                  <w:pPr>
                    <w:spacing w:line="240" w:lineRule="auto"/>
                    <w:jc w:val="center"/>
                    <w:rPr>
                      <w:rFonts w:ascii="宋体" w:hAnsi="宋体" w:cs="宋体"/>
                      <w:szCs w:val="21"/>
                    </w:rPr>
                  </w:pPr>
                </w:p>
              </w:tc>
              <w:tc>
                <w:tcPr>
                  <w:tcW w:w="747" w:type="pct"/>
                  <w:vAlign w:val="center"/>
                </w:tcPr>
                <w:p w14:paraId="077991C5">
                  <w:pPr>
                    <w:spacing w:line="240" w:lineRule="auto"/>
                    <w:jc w:val="center"/>
                    <w:rPr>
                      <w:rFonts w:ascii="宋体" w:hAnsi="宋体" w:cs="宋体"/>
                      <w:szCs w:val="21"/>
                    </w:rPr>
                  </w:pPr>
                </w:p>
              </w:tc>
              <w:tc>
                <w:tcPr>
                  <w:tcW w:w="630" w:type="pct"/>
                  <w:vAlign w:val="center"/>
                </w:tcPr>
                <w:p w14:paraId="6850A5FA">
                  <w:pPr>
                    <w:spacing w:line="240" w:lineRule="auto"/>
                    <w:jc w:val="center"/>
                    <w:rPr>
                      <w:rFonts w:ascii="宋体" w:hAnsi="宋体" w:cs="宋体"/>
                      <w:szCs w:val="21"/>
                    </w:rPr>
                  </w:pPr>
                </w:p>
              </w:tc>
              <w:tc>
                <w:tcPr>
                  <w:tcW w:w="674" w:type="pct"/>
                  <w:vAlign w:val="center"/>
                </w:tcPr>
                <w:p w14:paraId="308E5A1F">
                  <w:pPr>
                    <w:spacing w:line="240" w:lineRule="auto"/>
                    <w:jc w:val="center"/>
                    <w:rPr>
                      <w:rFonts w:ascii="宋体" w:hAnsi="宋体" w:cs="宋体"/>
                      <w:szCs w:val="21"/>
                    </w:rPr>
                  </w:pPr>
                </w:p>
              </w:tc>
            </w:tr>
            <w:tr w14:paraId="3200A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01" w:type="pct"/>
                  <w:vAlign w:val="center"/>
                </w:tcPr>
                <w:p w14:paraId="242BA5DD">
                  <w:pPr>
                    <w:spacing w:line="240" w:lineRule="auto"/>
                    <w:jc w:val="center"/>
                    <w:rPr>
                      <w:rFonts w:ascii="宋体" w:hAnsi="宋体" w:cs="宋体"/>
                      <w:szCs w:val="21"/>
                    </w:rPr>
                  </w:pPr>
                </w:p>
              </w:tc>
              <w:tc>
                <w:tcPr>
                  <w:tcW w:w="891" w:type="pct"/>
                  <w:vAlign w:val="center"/>
                </w:tcPr>
                <w:p w14:paraId="192AC01B">
                  <w:pPr>
                    <w:spacing w:line="240" w:lineRule="auto"/>
                    <w:jc w:val="center"/>
                    <w:rPr>
                      <w:rFonts w:ascii="宋体" w:hAnsi="宋体" w:cs="宋体"/>
                      <w:szCs w:val="21"/>
                    </w:rPr>
                  </w:pPr>
                  <w:r>
                    <w:rPr>
                      <w:rFonts w:hint="eastAsia" w:ascii="宋体" w:hAnsi="宋体" w:cs="宋体"/>
                      <w:szCs w:val="21"/>
                    </w:rPr>
                    <w:t>功能需求</w:t>
                  </w:r>
                </w:p>
              </w:tc>
              <w:tc>
                <w:tcPr>
                  <w:tcW w:w="1253" w:type="pct"/>
                  <w:vAlign w:val="center"/>
                </w:tcPr>
                <w:p w14:paraId="488632EC">
                  <w:pPr>
                    <w:spacing w:line="240" w:lineRule="auto"/>
                    <w:jc w:val="center"/>
                    <w:rPr>
                      <w:rFonts w:ascii="宋体" w:hAnsi="宋体" w:cs="宋体"/>
                      <w:szCs w:val="21"/>
                    </w:rPr>
                  </w:pPr>
                </w:p>
              </w:tc>
              <w:tc>
                <w:tcPr>
                  <w:tcW w:w="747" w:type="pct"/>
                  <w:vAlign w:val="center"/>
                </w:tcPr>
                <w:p w14:paraId="57CED31D">
                  <w:pPr>
                    <w:spacing w:line="240" w:lineRule="auto"/>
                    <w:jc w:val="center"/>
                    <w:rPr>
                      <w:rFonts w:ascii="宋体" w:hAnsi="宋体" w:cs="宋体"/>
                      <w:szCs w:val="21"/>
                    </w:rPr>
                  </w:pPr>
                </w:p>
              </w:tc>
              <w:tc>
                <w:tcPr>
                  <w:tcW w:w="630" w:type="pct"/>
                  <w:vAlign w:val="center"/>
                </w:tcPr>
                <w:p w14:paraId="6F988E23">
                  <w:pPr>
                    <w:spacing w:line="240" w:lineRule="auto"/>
                    <w:jc w:val="center"/>
                    <w:rPr>
                      <w:rFonts w:ascii="宋体" w:hAnsi="宋体" w:cs="宋体"/>
                      <w:szCs w:val="21"/>
                    </w:rPr>
                  </w:pPr>
                </w:p>
              </w:tc>
              <w:tc>
                <w:tcPr>
                  <w:tcW w:w="674" w:type="pct"/>
                  <w:vAlign w:val="center"/>
                </w:tcPr>
                <w:p w14:paraId="47465D20">
                  <w:pPr>
                    <w:spacing w:line="240" w:lineRule="auto"/>
                    <w:jc w:val="center"/>
                    <w:rPr>
                      <w:rFonts w:ascii="宋体" w:hAnsi="宋体" w:cs="宋体"/>
                      <w:szCs w:val="21"/>
                    </w:rPr>
                  </w:pPr>
                </w:p>
              </w:tc>
            </w:tr>
            <w:tr w14:paraId="3DCB1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93" w:type="pct"/>
                  <w:gridSpan w:val="2"/>
                  <w:vAlign w:val="center"/>
                </w:tcPr>
                <w:p w14:paraId="30CFEFA7">
                  <w:pPr>
                    <w:spacing w:line="240" w:lineRule="auto"/>
                    <w:jc w:val="center"/>
                    <w:rPr>
                      <w:rFonts w:ascii="宋体" w:hAnsi="宋体" w:cs="宋体"/>
                      <w:szCs w:val="21"/>
                    </w:rPr>
                  </w:pPr>
                  <w:r>
                    <w:rPr>
                      <w:rFonts w:hint="eastAsia" w:ascii="宋体" w:hAnsi="宋体" w:cs="宋体"/>
                      <w:szCs w:val="21"/>
                    </w:rPr>
                    <w:t>合计</w:t>
                  </w:r>
                </w:p>
              </w:tc>
              <w:tc>
                <w:tcPr>
                  <w:tcW w:w="1253" w:type="pct"/>
                  <w:vAlign w:val="center"/>
                </w:tcPr>
                <w:p w14:paraId="0066439F">
                  <w:pPr>
                    <w:spacing w:line="240" w:lineRule="auto"/>
                    <w:jc w:val="center"/>
                    <w:rPr>
                      <w:rFonts w:ascii="宋体" w:hAnsi="宋体" w:cs="宋体"/>
                      <w:szCs w:val="21"/>
                    </w:rPr>
                  </w:pPr>
                </w:p>
              </w:tc>
              <w:tc>
                <w:tcPr>
                  <w:tcW w:w="747" w:type="pct"/>
                  <w:vAlign w:val="center"/>
                </w:tcPr>
                <w:p w14:paraId="73A67C19">
                  <w:pPr>
                    <w:spacing w:line="240" w:lineRule="auto"/>
                    <w:jc w:val="center"/>
                    <w:rPr>
                      <w:rFonts w:ascii="宋体" w:hAnsi="宋体" w:cs="宋体"/>
                      <w:szCs w:val="21"/>
                    </w:rPr>
                  </w:pPr>
                </w:p>
              </w:tc>
              <w:tc>
                <w:tcPr>
                  <w:tcW w:w="630" w:type="pct"/>
                  <w:vAlign w:val="center"/>
                </w:tcPr>
                <w:p w14:paraId="6368DA25">
                  <w:pPr>
                    <w:spacing w:line="240" w:lineRule="auto"/>
                    <w:jc w:val="center"/>
                    <w:rPr>
                      <w:rFonts w:ascii="宋体" w:hAnsi="宋体" w:cs="宋体"/>
                      <w:szCs w:val="21"/>
                    </w:rPr>
                  </w:pPr>
                </w:p>
              </w:tc>
              <w:tc>
                <w:tcPr>
                  <w:tcW w:w="674" w:type="pct"/>
                  <w:vAlign w:val="center"/>
                </w:tcPr>
                <w:p w14:paraId="4A180A31">
                  <w:pPr>
                    <w:spacing w:line="240" w:lineRule="auto"/>
                    <w:jc w:val="center"/>
                    <w:rPr>
                      <w:rFonts w:ascii="宋体" w:hAnsi="宋体" w:cs="宋体"/>
                      <w:szCs w:val="21"/>
                    </w:rPr>
                  </w:pPr>
                </w:p>
              </w:tc>
            </w:tr>
          </w:tbl>
          <w:p w14:paraId="2CF5FBC1">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7 评估单位</w:t>
            </w:r>
          </w:p>
          <w:p w14:paraId="69503F0C">
            <w:pPr>
              <w:pStyle w:val="32"/>
              <w:spacing w:after="0" w:line="240" w:lineRule="auto"/>
              <w:ind w:firstLine="412" w:firstLineChars="200"/>
              <w:rPr>
                <w:rFonts w:ascii="宋体"/>
                <w:spacing w:val="-2"/>
                <w:kern w:val="0"/>
                <w:szCs w:val="21"/>
              </w:rPr>
            </w:pPr>
            <w:r>
              <w:rPr>
                <w:rFonts w:ascii="宋体"/>
                <w:spacing w:val="-2"/>
                <w:kern w:val="0"/>
                <w:szCs w:val="21"/>
              </w:rPr>
              <w:t>评估单位、评估师、负责人等，示例如下：</w:t>
            </w:r>
          </w:p>
          <w:p w14:paraId="67CCAA1E">
            <w:pPr>
              <w:autoSpaceDE w:val="0"/>
              <w:autoSpaceDN w:val="0"/>
              <w:spacing w:line="240" w:lineRule="auto"/>
              <w:ind w:firstLine="412" w:firstLineChars="200"/>
              <w:jc w:val="left"/>
              <w:rPr>
                <w:rFonts w:ascii="宋体"/>
                <w:spacing w:val="-2"/>
                <w:kern w:val="0"/>
                <w:szCs w:val="21"/>
              </w:rPr>
            </w:pPr>
            <w:r>
              <w:rPr>
                <w:rFonts w:ascii="宋体"/>
                <w:spacing w:val="-2"/>
                <w:kern w:val="0"/>
                <w:szCs w:val="21"/>
              </w:rPr>
              <w:t>评估单位：XXX</w:t>
            </w:r>
          </w:p>
          <w:p w14:paraId="6AD2CE71">
            <w:pPr>
              <w:autoSpaceDE w:val="0"/>
              <w:autoSpaceDN w:val="0"/>
              <w:spacing w:line="240" w:lineRule="auto"/>
              <w:ind w:firstLine="412" w:firstLineChars="200"/>
              <w:jc w:val="left"/>
              <w:rPr>
                <w:rFonts w:ascii="宋体"/>
                <w:spacing w:val="-2"/>
                <w:kern w:val="0"/>
                <w:szCs w:val="21"/>
              </w:rPr>
            </w:pPr>
            <w:r>
              <w:rPr>
                <w:rFonts w:ascii="宋体"/>
                <w:spacing w:val="-2"/>
                <w:kern w:val="0"/>
                <w:szCs w:val="21"/>
              </w:rPr>
              <w:t>项目总负责人：XXX</w:t>
            </w:r>
          </w:p>
          <w:p w14:paraId="51A43191">
            <w:pPr>
              <w:autoSpaceDE w:val="0"/>
              <w:autoSpaceDN w:val="0"/>
              <w:spacing w:line="240" w:lineRule="auto"/>
              <w:ind w:firstLine="412" w:firstLineChars="200"/>
              <w:jc w:val="left"/>
              <w:rPr>
                <w:rFonts w:ascii="宋体"/>
                <w:spacing w:val="-2"/>
                <w:kern w:val="0"/>
                <w:szCs w:val="21"/>
              </w:rPr>
            </w:pPr>
            <w:r>
              <w:rPr>
                <w:rFonts w:ascii="宋体"/>
                <w:spacing w:val="-2"/>
                <w:kern w:val="0"/>
                <w:szCs w:val="21"/>
              </w:rPr>
              <w:t>专业负责人（可选）：XXX</w:t>
            </w:r>
          </w:p>
          <w:p w14:paraId="4996C3E6">
            <w:pPr>
              <w:autoSpaceDE w:val="0"/>
              <w:autoSpaceDN w:val="0"/>
              <w:spacing w:line="240" w:lineRule="auto"/>
              <w:ind w:firstLine="412" w:firstLineChars="200"/>
              <w:jc w:val="left"/>
              <w:rPr>
                <w:rFonts w:ascii="宋体"/>
                <w:spacing w:val="-2"/>
                <w:kern w:val="0"/>
                <w:szCs w:val="21"/>
              </w:rPr>
            </w:pPr>
            <w:r>
              <w:rPr>
                <w:rFonts w:ascii="宋体"/>
                <w:spacing w:val="-2"/>
                <w:kern w:val="0"/>
                <w:szCs w:val="21"/>
              </w:rPr>
              <w:t>评估师：XXXX</w:t>
            </w:r>
          </w:p>
          <w:p w14:paraId="0B1A96B1">
            <w:pPr>
              <w:pStyle w:val="32"/>
              <w:ind w:firstLine="412" w:firstLineChars="200"/>
              <w:rPr>
                <w:rFonts w:ascii="宋体"/>
                <w:spacing w:val="-2"/>
                <w:kern w:val="0"/>
                <w:szCs w:val="21"/>
              </w:rPr>
            </w:pPr>
            <w:r>
              <w:rPr>
                <w:rFonts w:ascii="宋体"/>
                <w:spacing w:val="-2"/>
                <w:kern w:val="0"/>
                <w:szCs w:val="21"/>
              </w:rPr>
              <w:t>审核人（可选）：XXXX</w:t>
            </w:r>
            <w:bookmarkEnd w:id="92"/>
            <w:r>
              <w:rPr>
                <w:rFonts w:ascii="宋体"/>
                <w:spacing w:val="-2"/>
                <w:kern w:val="0"/>
                <w:szCs w:val="21"/>
              </w:rPr>
              <w:br w:type="textWrapping"/>
            </w:r>
            <w:r>
              <w:rPr>
                <w:rFonts w:ascii="宋体"/>
                <w:spacing w:val="-2"/>
                <w:kern w:val="0"/>
                <w:szCs w:val="21"/>
              </w:rPr>
              <w:br w:type="textWrapping"/>
            </w:r>
            <w:r>
              <w:rPr>
                <w:rFonts w:ascii="宋体"/>
                <w:spacing w:val="-2"/>
                <w:kern w:val="0"/>
                <w:szCs w:val="21"/>
              </w:rPr>
              <w:br w:type="textWrapping"/>
            </w:r>
            <w:r>
              <w:rPr>
                <w:rFonts w:ascii="宋体"/>
                <w:spacing w:val="-2"/>
                <w:kern w:val="0"/>
                <w:szCs w:val="21"/>
              </w:rPr>
              <w:br w:type="textWrapping"/>
            </w:r>
            <w:r>
              <w:rPr>
                <w:rFonts w:ascii="宋体"/>
                <w:spacing w:val="-2"/>
                <w:kern w:val="0"/>
                <w:szCs w:val="21"/>
              </w:rPr>
              <w:br w:type="textWrapping"/>
            </w:r>
          </w:p>
        </w:tc>
      </w:tr>
    </w:tbl>
    <w:p w14:paraId="4A141637">
      <w:pPr>
        <w:pStyle w:val="86"/>
        <w:numPr>
          <w:ilvl w:val="0"/>
          <w:numId w:val="0"/>
        </w:numPr>
        <w:ind w:left="363"/>
        <w:outlineLvl w:val="9"/>
        <w:rPr>
          <w:color w:val="auto"/>
        </w:rPr>
      </w:pPr>
    </w:p>
    <w:p w14:paraId="01992E8C">
      <w:pPr>
        <w:bidi w:val="0"/>
        <w:rPr>
          <w:rFonts w:hint="eastAsia"/>
        </w:rPr>
      </w:pPr>
      <w:bookmarkStart w:id="93" w:name="_Toc12688"/>
    </w:p>
    <w:p w14:paraId="616159EB">
      <w:pPr>
        <w:pStyle w:val="84"/>
        <w:keepNext/>
        <w:keepLines w:val="0"/>
        <w:pageBreakBefore w:val="0"/>
        <w:widowControl/>
        <w:numPr>
          <w:ilvl w:val="0"/>
          <w:numId w:val="0"/>
        </w:numPr>
        <w:tabs>
          <w:tab w:val="clear" w:pos="360"/>
        </w:tabs>
        <w:kinsoku/>
        <w:wordWrap/>
        <w:overflowPunct/>
        <w:topLinePunct w:val="0"/>
        <w:autoSpaceDE/>
        <w:autoSpaceDN/>
        <w:bidi w:val="0"/>
        <w:adjustRightInd/>
        <w:snapToGrid/>
        <w:spacing w:before="0" w:after="0"/>
        <w:jc w:val="center"/>
        <w:textAlignment w:val="auto"/>
      </w:pPr>
      <w:r>
        <w:rPr>
          <w:rFonts w:hint="eastAsia"/>
        </w:rPr>
        <w:br w:type="textWrapping"/>
      </w:r>
      <w:r>
        <w:rPr>
          <w:rFonts w:hint="eastAsia"/>
        </w:rPr>
        <w:t>附　录　D</w:t>
      </w:r>
      <w:r>
        <w:br w:type="textWrapping"/>
      </w:r>
      <w:bookmarkStart w:id="94" w:name="_Toc168328412"/>
      <w:bookmarkStart w:id="95" w:name="_Toc166672677"/>
      <w:r>
        <w:rPr>
          <w:rFonts w:hint="eastAsia"/>
        </w:rPr>
        <w:t>（资料性）</w:t>
      </w:r>
      <w:r>
        <w:br w:type="textWrapping"/>
      </w:r>
      <w:bookmarkEnd w:id="93"/>
      <w:bookmarkEnd w:id="94"/>
      <w:bookmarkEnd w:id="95"/>
      <w:r>
        <w:rPr>
          <w:rFonts w:hint="eastAsia"/>
        </w:rPr>
        <w:t>软件开发成本度量过程示例</w:t>
      </w:r>
    </w:p>
    <w:p w14:paraId="5B1F646B">
      <w:pPr>
        <w:pStyle w:val="142"/>
        <w:keepNext w:val="0"/>
        <w:keepLines w:val="0"/>
        <w:pageBreakBefore w:val="0"/>
        <w:widowControl/>
        <w:kinsoku/>
        <w:wordWrap/>
        <w:overflowPunct/>
        <w:topLinePunct w:val="0"/>
        <w:autoSpaceDE w:val="0"/>
        <w:autoSpaceDN w:val="0"/>
        <w:bidi w:val="0"/>
        <w:adjustRightInd/>
        <w:snapToGrid/>
        <w:spacing w:before="313" w:beforeLines="100" w:after="313" w:afterLines="100" w:line="240" w:lineRule="auto"/>
        <w:ind w:firstLine="0" w:firstLineChars="0"/>
        <w:textAlignment w:val="auto"/>
        <w:rPr>
          <w:rFonts w:hint="eastAsia" w:ascii="黑体" w:hAnsi="黑体" w:eastAsia="黑体" w:cs="黑体"/>
        </w:rPr>
      </w:pPr>
      <w:r>
        <w:rPr>
          <w:rFonts w:hint="eastAsia" w:ascii="黑体" w:hAnsi="黑体" w:eastAsia="黑体" w:cs="黑体"/>
        </w:rPr>
        <w:t>D.1 项目背景</w:t>
      </w:r>
    </w:p>
    <w:p w14:paraId="1B4A9EB9">
      <w:pPr>
        <w:pStyle w:val="142"/>
        <w:spacing w:line="240" w:lineRule="auto"/>
        <w:ind w:firstLine="420"/>
        <w:rPr>
          <w:rFonts w:ascii="Times New Roman"/>
          <w:color w:val="auto"/>
        </w:rPr>
      </w:pPr>
      <w:r>
        <w:rPr>
          <w:rFonts w:hint="eastAsia"/>
          <w:color w:val="auto"/>
        </w:rPr>
        <w:t>某软件系统的功能已完成全部功能开发且成功部署上线，委托方委托第三方评估机构（评估方）对开发工作量进行度量，度量结果将用于委托方与软件开发厂商结算。</w:t>
      </w:r>
    </w:p>
    <w:p w14:paraId="28EE56E3">
      <w:pPr>
        <w:pStyle w:val="142"/>
        <w:keepNext w:val="0"/>
        <w:keepLines w:val="0"/>
        <w:pageBreakBefore w:val="0"/>
        <w:widowControl/>
        <w:kinsoku/>
        <w:wordWrap/>
        <w:overflowPunct/>
        <w:topLinePunct w:val="0"/>
        <w:autoSpaceDE w:val="0"/>
        <w:autoSpaceDN w:val="0"/>
        <w:bidi w:val="0"/>
        <w:adjustRightInd/>
        <w:snapToGrid/>
        <w:spacing w:before="313" w:beforeLines="100" w:after="313" w:afterLines="100" w:line="240" w:lineRule="auto"/>
        <w:ind w:firstLine="0" w:firstLineChars="0"/>
        <w:textAlignment w:val="auto"/>
        <w:rPr>
          <w:rFonts w:hint="eastAsia" w:ascii="黑体" w:hAnsi="黑体" w:eastAsia="黑体" w:cs="黑体"/>
        </w:rPr>
      </w:pPr>
      <w:r>
        <w:rPr>
          <w:rFonts w:hint="eastAsia" w:ascii="黑体" w:hAnsi="黑体" w:eastAsia="黑体" w:cs="黑体"/>
        </w:rPr>
        <w:t>D.2 度量过程</w:t>
      </w:r>
    </w:p>
    <w:p w14:paraId="5A0477E3">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D.2.1 确定度量范围</w:t>
      </w:r>
    </w:p>
    <w:p w14:paraId="35549BBE">
      <w:pPr>
        <w:pStyle w:val="142"/>
        <w:spacing w:line="240" w:lineRule="auto"/>
        <w:ind w:firstLine="420"/>
        <w:rPr>
          <w:rFonts w:ascii="Times New Roman"/>
        </w:rPr>
      </w:pPr>
      <w:r>
        <w:rPr>
          <w:rFonts w:hint="eastAsia" w:ascii="Times New Roman"/>
        </w:rPr>
        <w:t>评估方通过委托方送审资料及沟通得知，项目主要确认活动包括：</w:t>
      </w:r>
    </w:p>
    <w:p w14:paraId="47838A72">
      <w:pPr>
        <w:pStyle w:val="142"/>
        <w:numPr>
          <w:ilvl w:val="5"/>
          <w:numId w:val="24"/>
        </w:numPr>
        <w:tabs>
          <w:tab w:val="left" w:pos="420"/>
          <w:tab w:val="clear" w:pos="2520"/>
        </w:tabs>
        <w:spacing w:line="240" w:lineRule="auto"/>
        <w:ind w:left="0" w:firstLine="420"/>
        <w:rPr>
          <w:rFonts w:ascii="Times New Roman"/>
        </w:rPr>
      </w:pPr>
      <w:r>
        <w:rPr>
          <w:rFonts w:ascii="Times New Roman"/>
        </w:rPr>
        <w:t>资料的一致性</w:t>
      </w:r>
      <w:r>
        <w:rPr>
          <w:rFonts w:hint="eastAsia" w:ascii="Times New Roman"/>
        </w:rPr>
        <w:t>、</w:t>
      </w:r>
      <w:r>
        <w:rPr>
          <w:rFonts w:ascii="Times New Roman"/>
        </w:rPr>
        <w:t>完整性确认</w:t>
      </w:r>
      <w:r>
        <w:rPr>
          <w:rFonts w:hint="eastAsia" w:ascii="Times New Roman"/>
        </w:rPr>
        <w:t>：经确认送审需求文档内容与送审系统信息一致，送审需求文档信</w:t>
      </w:r>
      <w:r>
        <w:rPr>
          <w:rFonts w:hint="eastAsia" w:ascii="Times New Roman"/>
          <w:lang w:val="en-US" w:eastAsia="zh-CN"/>
        </w:rPr>
        <w:t xml:space="preserve">         </w:t>
      </w:r>
      <w:r>
        <w:rPr>
          <w:rFonts w:hint="eastAsia" w:ascii="Times New Roman"/>
        </w:rPr>
        <w:t>息完整内容包括如下：</w:t>
      </w:r>
    </w:p>
    <w:p w14:paraId="335D7B77">
      <w:pPr>
        <w:pStyle w:val="142"/>
        <w:numPr>
          <w:ilvl w:val="0"/>
          <w:numId w:val="25"/>
        </w:numPr>
        <w:spacing w:line="240" w:lineRule="auto"/>
        <w:ind w:left="0" w:firstLine="840" w:firstLineChars="400"/>
        <w:rPr>
          <w:rFonts w:ascii="Times New Roman"/>
        </w:rPr>
      </w:pPr>
      <w:r>
        <w:rPr>
          <w:rFonts w:hint="eastAsia" w:ascii="Times New Roman"/>
        </w:rPr>
        <w:t>建设目标：实现IT能力集中化，提升IT系统快速响应和智能化水平。</w:t>
      </w:r>
    </w:p>
    <w:p w14:paraId="2E5E2E04">
      <w:pPr>
        <w:pStyle w:val="142"/>
        <w:numPr>
          <w:ilvl w:val="0"/>
          <w:numId w:val="26"/>
        </w:numPr>
        <w:spacing w:line="240" w:lineRule="auto"/>
        <w:ind w:left="0" w:firstLine="840" w:firstLineChars="400"/>
        <w:rPr>
          <w:rFonts w:ascii="Times New Roman"/>
        </w:rPr>
      </w:pPr>
      <w:r>
        <w:rPr>
          <w:rFonts w:hint="eastAsia" w:ascii="Times New Roman"/>
        </w:rPr>
        <w:t>必要性：建设一体化交付割接系统，提升资源利用率，降低运营成本，提高快速支撑响应能力。</w:t>
      </w:r>
    </w:p>
    <w:p w14:paraId="69CD07B6">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D.2.1.1 一体化交付割接系统（部分示例）</w:t>
      </w:r>
    </w:p>
    <w:p w14:paraId="1E7B67D0">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D.2.1.1.1 需求描述</w:t>
      </w:r>
    </w:p>
    <w:p w14:paraId="2D699BB0">
      <w:pPr>
        <w:pStyle w:val="142"/>
        <w:spacing w:line="240" w:lineRule="auto"/>
        <w:ind w:firstLine="420"/>
        <w:rPr>
          <w:rFonts w:ascii="Times New Roman"/>
        </w:rPr>
      </w:pPr>
      <w:r>
        <w:rPr>
          <w:rFonts w:hint="eastAsia" w:ascii="Times New Roman"/>
        </w:rPr>
        <w:t>本期项目为一体化交付割接系统，主要进行集中化的人员、设备、环境管理和割接过程信息化管理，实现系统交付的标准化、信息化、集成化、可视化能力，提升系统交付的规范性和安全性。提供交付活动与割接过程管理等功能，功能说明如下：</w:t>
      </w:r>
    </w:p>
    <w:p w14:paraId="2FCB0AEB">
      <w:pPr>
        <w:pStyle w:val="142"/>
        <w:spacing w:line="240" w:lineRule="auto"/>
        <w:ind w:firstLine="420"/>
        <w:rPr>
          <w:rFonts w:ascii="Times New Roman"/>
        </w:rPr>
      </w:pPr>
      <w:r>
        <w:rPr>
          <w:rFonts w:hint="eastAsia" w:ascii="Times New Roman"/>
        </w:rPr>
        <w:t>交付活动与割接过程管理模块：主要完成包括项目创建、交付活动创建、割接计划制定、割接计划查询、封版以及割接计划变更功能，实现对项目交付的全面管理；在交付活动正式割接阶段，对割接过程进行监控，割接过程中若出现问题，可通过给相关人员发送消息通知进行提醒，可提供上线割接过程视图查看功能，实现对割接过程全面监控。</w:t>
      </w:r>
    </w:p>
    <w:p w14:paraId="4521D1A6">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D.2.1.1.2 功能清单</w:t>
      </w:r>
    </w:p>
    <w:p w14:paraId="24A83DFB">
      <w:pPr>
        <w:pStyle w:val="142"/>
        <w:tabs>
          <w:tab w:val="left" w:pos="420"/>
        </w:tabs>
        <w:spacing w:before="156" w:beforeLines="50" w:after="156" w:afterLines="50" w:line="240" w:lineRule="auto"/>
        <w:ind w:firstLine="0" w:firstLineChars="0"/>
        <w:jc w:val="center"/>
        <w:rPr>
          <w:rFonts w:ascii="黑体" w:hAnsi="黑体" w:eastAsia="黑体" w:cs="黑体"/>
        </w:rPr>
      </w:pPr>
      <w:r>
        <w:rPr>
          <w:rFonts w:hint="eastAsia" w:ascii="黑体" w:hAnsi="黑体" w:eastAsia="黑体" w:cs="黑体"/>
        </w:rPr>
        <w:t>表D.1 一体化交付割接系统送审功能清单</w:t>
      </w:r>
    </w:p>
    <w:tbl>
      <w:tblPr>
        <w:tblStyle w:val="33"/>
        <w:tblW w:w="9570" w:type="dxa"/>
        <w:jc w:val="center"/>
        <w:tblLayout w:type="fixed"/>
        <w:tblCellMar>
          <w:top w:w="0" w:type="dxa"/>
          <w:left w:w="108" w:type="dxa"/>
          <w:bottom w:w="0" w:type="dxa"/>
          <w:right w:w="108" w:type="dxa"/>
        </w:tblCellMar>
      </w:tblPr>
      <w:tblGrid>
        <w:gridCol w:w="756"/>
        <w:gridCol w:w="1320"/>
        <w:gridCol w:w="636"/>
        <w:gridCol w:w="1568"/>
        <w:gridCol w:w="952"/>
        <w:gridCol w:w="972"/>
        <w:gridCol w:w="1534"/>
        <w:gridCol w:w="1126"/>
        <w:gridCol w:w="706"/>
      </w:tblGrid>
      <w:tr w14:paraId="4CA3C6C6">
        <w:tblPrEx>
          <w:tblCellMar>
            <w:top w:w="0" w:type="dxa"/>
            <w:left w:w="108" w:type="dxa"/>
            <w:bottom w:w="0" w:type="dxa"/>
            <w:right w:w="108" w:type="dxa"/>
          </w:tblCellMar>
        </w:tblPrEx>
        <w:trPr>
          <w:trHeight w:val="480" w:hRule="atLeast"/>
          <w:jc w:val="center"/>
        </w:trPr>
        <w:tc>
          <w:tcPr>
            <w:tcW w:w="9570"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BCC9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sz w:val="21"/>
                <w:szCs w:val="21"/>
              </w:rPr>
              <w:t>一体化交付割接系统</w:t>
            </w:r>
            <w:r>
              <w:rPr>
                <w:rFonts w:hint="eastAsia" w:ascii="宋体" w:hAnsi="宋体" w:cs="宋体"/>
                <w:kern w:val="0"/>
                <w:sz w:val="21"/>
                <w:szCs w:val="21"/>
                <w:lang w:bidi="ar"/>
              </w:rPr>
              <w:t>送审功能清单</w:t>
            </w:r>
          </w:p>
        </w:tc>
      </w:tr>
      <w:tr w14:paraId="0379D2E4">
        <w:tblPrEx>
          <w:tblCellMar>
            <w:top w:w="0" w:type="dxa"/>
            <w:left w:w="108" w:type="dxa"/>
            <w:bottom w:w="0" w:type="dxa"/>
            <w:right w:w="108" w:type="dxa"/>
          </w:tblCellMar>
        </w:tblPrEx>
        <w:trPr>
          <w:trHeight w:val="1000" w:hRule="atLeast"/>
          <w:jc w:val="center"/>
        </w:trPr>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15F1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需求序号</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5025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项目名称</w:t>
            </w:r>
          </w:p>
        </w:tc>
        <w:tc>
          <w:tcPr>
            <w:tcW w:w="6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BEB3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子系统</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122C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一级功能模块名称</w:t>
            </w: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BD80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二级功能模块名称</w:t>
            </w:r>
          </w:p>
        </w:tc>
        <w:tc>
          <w:tcPr>
            <w:tcW w:w="9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33AB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三级功能模块名称</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FEFF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类型</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6B85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送审工作量（单位：人天）</w:t>
            </w:r>
          </w:p>
        </w:tc>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CF24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送审功能点</w:t>
            </w:r>
          </w:p>
        </w:tc>
      </w:tr>
      <w:tr w14:paraId="0B8ECA71">
        <w:tblPrEx>
          <w:tblCellMar>
            <w:top w:w="0" w:type="dxa"/>
            <w:left w:w="108" w:type="dxa"/>
            <w:bottom w:w="0" w:type="dxa"/>
            <w:right w:w="108" w:type="dxa"/>
          </w:tblCellMar>
        </w:tblPrEx>
        <w:trPr>
          <w:trHeight w:val="262" w:hRule="atLeast"/>
          <w:jc w:val="center"/>
        </w:trPr>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7BF1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例</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7CA9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一体化交付割接系统</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2E336">
            <w:pPr>
              <w:keepNext w:val="0"/>
              <w:keepLines w:val="0"/>
              <w:pageBreakBefore w:val="0"/>
              <w:kinsoku/>
              <w:wordWrap/>
              <w:overflowPunct/>
              <w:topLinePunct w:val="0"/>
              <w:autoSpaceDE/>
              <w:autoSpaceDN/>
              <w:bidi w:val="0"/>
              <w:adjustRightInd/>
              <w:snapToGrid/>
              <w:spacing w:line="240" w:lineRule="auto"/>
              <w:jc w:val="center"/>
              <w:rPr>
                <w:rFonts w:ascii="宋体" w:hAnsi="宋体" w:cs="宋体"/>
                <w:sz w:val="21"/>
                <w:szCs w:val="21"/>
              </w:rPr>
            </w:pPr>
          </w:p>
        </w:tc>
        <w:tc>
          <w:tcPr>
            <w:tcW w:w="1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717E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交付活动和割接过程管理</w:t>
            </w:r>
          </w:p>
        </w:tc>
        <w:tc>
          <w:tcPr>
            <w:tcW w:w="9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3318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6F63A">
            <w:pPr>
              <w:keepNext w:val="0"/>
              <w:keepLines w:val="0"/>
              <w:pageBreakBefore w:val="0"/>
              <w:kinsoku/>
              <w:wordWrap/>
              <w:overflowPunct/>
              <w:topLinePunct w:val="0"/>
              <w:autoSpaceDE/>
              <w:autoSpaceDN/>
              <w:bidi w:val="0"/>
              <w:adjustRightInd/>
              <w:snapToGrid/>
              <w:spacing w:line="240" w:lineRule="auto"/>
              <w:jc w:val="center"/>
              <w:rPr>
                <w:rFonts w:ascii="宋体" w:hAnsi="宋体" w:cs="宋体"/>
                <w:sz w:val="21"/>
                <w:szCs w:val="21"/>
              </w:rPr>
            </w:pPr>
          </w:p>
        </w:tc>
        <w:tc>
          <w:tcPr>
            <w:tcW w:w="15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3714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优化</w:t>
            </w:r>
          </w:p>
        </w:tc>
        <w:tc>
          <w:tcPr>
            <w:tcW w:w="11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4BB7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5</w:t>
            </w: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2382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r>
              <w:rPr>
                <w:rFonts w:hint="eastAsia" w:ascii="宋体" w:hAnsi="宋体" w:cs="宋体"/>
                <w:kern w:val="0"/>
                <w:sz w:val="21"/>
                <w:szCs w:val="21"/>
                <w:lang w:bidi="ar"/>
              </w:rPr>
              <w:t>无</w:t>
            </w:r>
          </w:p>
        </w:tc>
      </w:tr>
      <w:tr w14:paraId="465B7872">
        <w:tblPrEx>
          <w:tblCellMar>
            <w:top w:w="0" w:type="dxa"/>
            <w:left w:w="108" w:type="dxa"/>
            <w:bottom w:w="0" w:type="dxa"/>
            <w:right w:w="108" w:type="dxa"/>
          </w:tblCellMar>
        </w:tblPrEx>
        <w:trPr>
          <w:trHeight w:val="300" w:hRule="atLeast"/>
          <w:jc w:val="center"/>
        </w:trPr>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A7E7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kern w:val="0"/>
                <w:sz w:val="21"/>
                <w:szCs w:val="21"/>
                <w:lang w:bidi="ar"/>
              </w:rPr>
            </w:pPr>
            <w:r>
              <w:rPr>
                <w:rFonts w:hint="eastAsia" w:ascii="宋体" w:hAnsi="宋体" w:cs="宋体"/>
                <w:kern w:val="0"/>
                <w:sz w:val="21"/>
                <w:szCs w:val="21"/>
                <w:lang w:bidi="ar"/>
              </w:rPr>
              <w:t>合计</w:t>
            </w:r>
          </w:p>
        </w:tc>
        <w:tc>
          <w:tcPr>
            <w:tcW w:w="13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A1FB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kern w:val="0"/>
                <w:sz w:val="21"/>
                <w:szCs w:val="21"/>
                <w:lang w:bidi="ar"/>
              </w:rPr>
            </w:pP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06C93">
            <w:pPr>
              <w:keepNext w:val="0"/>
              <w:keepLines w:val="0"/>
              <w:pageBreakBefore w:val="0"/>
              <w:kinsoku/>
              <w:wordWrap/>
              <w:overflowPunct/>
              <w:topLinePunct w:val="0"/>
              <w:autoSpaceDE/>
              <w:autoSpaceDN/>
              <w:bidi w:val="0"/>
              <w:adjustRightInd/>
              <w:snapToGrid/>
              <w:spacing w:line="240" w:lineRule="auto"/>
              <w:jc w:val="center"/>
              <w:rPr>
                <w:rFonts w:ascii="宋体" w:hAnsi="宋体" w:cs="宋体"/>
                <w:sz w:val="21"/>
                <w:szCs w:val="21"/>
              </w:rPr>
            </w:pPr>
          </w:p>
        </w:tc>
        <w:tc>
          <w:tcPr>
            <w:tcW w:w="1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7F89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kern w:val="0"/>
                <w:sz w:val="21"/>
                <w:szCs w:val="21"/>
                <w:lang w:bidi="ar"/>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CE6D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sz w:val="21"/>
                <w:szCs w:val="21"/>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9E939">
            <w:pPr>
              <w:keepNext w:val="0"/>
              <w:keepLines w:val="0"/>
              <w:pageBreakBefore w:val="0"/>
              <w:kinsoku/>
              <w:wordWrap/>
              <w:overflowPunct/>
              <w:topLinePunct w:val="0"/>
              <w:autoSpaceDE/>
              <w:autoSpaceDN/>
              <w:bidi w:val="0"/>
              <w:adjustRightInd/>
              <w:snapToGrid/>
              <w:spacing w:line="240" w:lineRule="auto"/>
              <w:jc w:val="center"/>
              <w:rPr>
                <w:rFonts w:ascii="宋体" w:hAnsi="宋体" w:cs="宋体"/>
                <w:sz w:val="21"/>
                <w:szCs w:val="21"/>
              </w:rPr>
            </w:pPr>
          </w:p>
        </w:tc>
        <w:tc>
          <w:tcPr>
            <w:tcW w:w="15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92D2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kern w:val="0"/>
                <w:sz w:val="21"/>
                <w:szCs w:val="21"/>
                <w:lang w:bidi="ar"/>
              </w:rPr>
            </w:pPr>
          </w:p>
        </w:tc>
        <w:tc>
          <w:tcPr>
            <w:tcW w:w="11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1ADD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kern w:val="0"/>
                <w:sz w:val="21"/>
                <w:szCs w:val="21"/>
                <w:lang w:bidi="ar"/>
              </w:rPr>
            </w:pPr>
          </w:p>
        </w:tc>
        <w:tc>
          <w:tcPr>
            <w:tcW w:w="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73C7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hAnsi="宋体" w:cs="宋体"/>
                <w:kern w:val="0"/>
                <w:sz w:val="21"/>
                <w:szCs w:val="21"/>
                <w:lang w:bidi="ar"/>
              </w:rPr>
            </w:pPr>
          </w:p>
        </w:tc>
      </w:tr>
    </w:tbl>
    <w:p w14:paraId="75F49578">
      <w:pPr>
        <w:pStyle w:val="142"/>
        <w:numPr>
          <w:ilvl w:val="5"/>
          <w:numId w:val="24"/>
        </w:numPr>
        <w:tabs>
          <w:tab w:val="left" w:pos="420"/>
          <w:tab w:val="clear" w:pos="2520"/>
        </w:tabs>
        <w:spacing w:line="240" w:lineRule="auto"/>
        <w:ind w:left="0" w:firstLine="420"/>
        <w:rPr>
          <w:rFonts w:ascii="Times New Roman"/>
        </w:rPr>
      </w:pPr>
      <w:r>
        <w:rPr>
          <w:rFonts w:hint="eastAsia" w:ascii="Times New Roman"/>
        </w:rPr>
        <w:t>需求粒度确认：本项目需求文档中功能需求粒度已达到功能过程粒度且功能需求描述清晰，可以评估。</w:t>
      </w:r>
    </w:p>
    <w:p w14:paraId="56A80C94">
      <w:pPr>
        <w:pStyle w:val="142"/>
        <w:numPr>
          <w:ilvl w:val="5"/>
          <w:numId w:val="24"/>
        </w:numPr>
        <w:tabs>
          <w:tab w:val="left" w:pos="420"/>
          <w:tab w:val="clear" w:pos="2520"/>
        </w:tabs>
        <w:spacing w:line="240" w:lineRule="auto"/>
        <w:ind w:left="0" w:firstLine="420"/>
        <w:rPr>
          <w:rFonts w:ascii="Times New Roman"/>
        </w:rPr>
      </w:pPr>
      <w:r>
        <w:rPr>
          <w:rFonts w:hint="eastAsia" w:ascii="Times New Roman"/>
        </w:rPr>
        <w:t>系统及开发特性确认：</w:t>
      </w:r>
    </w:p>
    <w:p w14:paraId="2157AB18">
      <w:pPr>
        <w:pStyle w:val="142"/>
        <w:numPr>
          <w:ilvl w:val="0"/>
          <w:numId w:val="27"/>
        </w:numPr>
        <w:spacing w:line="240" w:lineRule="auto"/>
        <w:ind w:left="0" w:firstLine="840" w:firstLineChars="400"/>
        <w:rPr>
          <w:rFonts w:ascii="Times New Roman"/>
        </w:rPr>
      </w:pPr>
      <w:r>
        <w:rPr>
          <w:rFonts w:hint="eastAsia" w:ascii="Times New Roman"/>
        </w:rPr>
        <w:t>度量阶段：结算</w:t>
      </w:r>
    </w:p>
    <w:p w14:paraId="4A1F7EC1">
      <w:pPr>
        <w:pStyle w:val="142"/>
        <w:numPr>
          <w:ilvl w:val="0"/>
          <w:numId w:val="28"/>
        </w:numPr>
        <w:spacing w:line="240" w:lineRule="auto"/>
        <w:ind w:left="0" w:firstLine="840" w:firstLineChars="400"/>
        <w:rPr>
          <w:rFonts w:ascii="Times New Roman"/>
        </w:rPr>
      </w:pPr>
      <w:r>
        <w:rPr>
          <w:rFonts w:hint="eastAsia" w:ascii="Times New Roman"/>
        </w:rPr>
        <w:t>应用领域：单位内部业务处理系统</w:t>
      </w:r>
    </w:p>
    <w:p w14:paraId="3404DE2E">
      <w:pPr>
        <w:pStyle w:val="142"/>
        <w:numPr>
          <w:ilvl w:val="0"/>
          <w:numId w:val="29"/>
        </w:numPr>
        <w:spacing w:line="240" w:lineRule="auto"/>
        <w:ind w:left="0" w:firstLine="840" w:firstLineChars="400"/>
        <w:rPr>
          <w:rFonts w:ascii="Times New Roman"/>
        </w:rPr>
      </w:pPr>
      <w:r>
        <w:rPr>
          <w:rFonts w:hint="eastAsia" w:ascii="Times New Roman"/>
        </w:rPr>
        <w:t>质量及特性要求：均无明确要求</w:t>
      </w:r>
    </w:p>
    <w:p w14:paraId="3B51DCAF">
      <w:pPr>
        <w:pStyle w:val="142"/>
        <w:numPr>
          <w:ilvl w:val="0"/>
          <w:numId w:val="27"/>
        </w:numPr>
        <w:spacing w:line="240" w:lineRule="auto"/>
        <w:ind w:left="0" w:firstLine="840" w:firstLineChars="400"/>
        <w:rPr>
          <w:rFonts w:ascii="Times New Roman"/>
        </w:rPr>
      </w:pPr>
      <w:r>
        <w:rPr>
          <w:rFonts w:hint="eastAsia" w:ascii="Times New Roman"/>
        </w:rPr>
        <w:t>完整性级别：系统风险等级微小</w:t>
      </w:r>
    </w:p>
    <w:p w14:paraId="017CD177">
      <w:pPr>
        <w:pStyle w:val="142"/>
        <w:numPr>
          <w:ilvl w:val="0"/>
          <w:numId w:val="27"/>
        </w:numPr>
        <w:spacing w:line="240" w:lineRule="auto"/>
        <w:ind w:left="0" w:firstLine="840" w:firstLineChars="400"/>
        <w:rPr>
          <w:rFonts w:ascii="Times New Roman"/>
        </w:rPr>
      </w:pPr>
      <w:r>
        <w:rPr>
          <w:rFonts w:hint="eastAsia" w:ascii="Times New Roman"/>
        </w:rPr>
        <w:t>开发语言：JAVA</w:t>
      </w:r>
    </w:p>
    <w:p w14:paraId="04A2FE77">
      <w:pPr>
        <w:pStyle w:val="142"/>
        <w:numPr>
          <w:ilvl w:val="0"/>
          <w:numId w:val="27"/>
        </w:numPr>
        <w:spacing w:line="240" w:lineRule="auto"/>
        <w:ind w:left="0" w:firstLine="840" w:firstLineChars="400"/>
        <w:rPr>
          <w:rFonts w:ascii="Times New Roman"/>
        </w:rPr>
      </w:pPr>
      <w:r>
        <w:rPr>
          <w:rFonts w:hint="eastAsia" w:ascii="Times New Roman"/>
        </w:rPr>
        <w:t>开发团队背景：为本行业开发过类似项目</w:t>
      </w:r>
    </w:p>
    <w:p w14:paraId="7919765E">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 xml:space="preserve">D.2.2 软件规模度量 </w:t>
      </w:r>
    </w:p>
    <w:p w14:paraId="331893E5">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D.2.2.1 规模度量</w:t>
      </w:r>
    </w:p>
    <w:p w14:paraId="64FB308F">
      <w:pPr>
        <w:pStyle w:val="142"/>
        <w:spacing w:line="240" w:lineRule="auto"/>
        <w:ind w:firstLine="0" w:firstLineChars="0"/>
        <w:rPr>
          <w:rFonts w:hAnsi="宋体" w:cs="宋体"/>
        </w:rPr>
      </w:pPr>
      <w:r>
        <w:rPr>
          <w:rFonts w:ascii="Times New Roman"/>
        </w:rPr>
        <w:t xml:space="preserve"> </w:t>
      </w:r>
      <w:r>
        <w:rPr>
          <w:rFonts w:hint="eastAsia" w:hAnsi="宋体" w:cs="宋体"/>
        </w:rPr>
        <w:t xml:space="preserve">   通过需求说明文档中需求描述结合COSMIC度量方法，对功能性用户需求、功能用户、功能过程、数据组、数据属性、子过程依次进行识别，识别完成后对功能规模进行度量。规模度量表如下：</w:t>
      </w:r>
    </w:p>
    <w:p w14:paraId="662C6A93">
      <w:pPr>
        <w:pStyle w:val="142"/>
        <w:spacing w:before="156" w:beforeLines="50" w:after="156" w:afterLines="50" w:line="240" w:lineRule="auto"/>
        <w:ind w:firstLine="0" w:firstLineChars="0"/>
        <w:jc w:val="center"/>
        <w:rPr>
          <w:rFonts w:ascii="黑体" w:hAnsi="黑体" w:eastAsia="黑体" w:cs="黑体"/>
        </w:rPr>
      </w:pPr>
      <w:r>
        <w:rPr>
          <w:rFonts w:hint="eastAsia" w:ascii="黑体" w:hAnsi="黑体" w:eastAsia="黑体" w:cs="黑体"/>
        </w:rPr>
        <w:t>表D.2 一体化交付割接系统规模度量表</w:t>
      </w:r>
    </w:p>
    <w:tbl>
      <w:tblPr>
        <w:tblStyle w:val="33"/>
        <w:tblW w:w="85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0"/>
        <w:gridCol w:w="417"/>
        <w:gridCol w:w="525"/>
        <w:gridCol w:w="509"/>
        <w:gridCol w:w="658"/>
        <w:gridCol w:w="567"/>
        <w:gridCol w:w="1038"/>
        <w:gridCol w:w="875"/>
        <w:gridCol w:w="630"/>
        <w:gridCol w:w="935"/>
        <w:gridCol w:w="1124"/>
        <w:gridCol w:w="771"/>
      </w:tblGrid>
      <w:tr w14:paraId="084DE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blHeader/>
          <w:jc w:val="center"/>
        </w:trPr>
        <w:tc>
          <w:tcPr>
            <w:tcW w:w="8509" w:type="dxa"/>
            <w:gridSpan w:val="12"/>
            <w:shd w:val="clear" w:color="auto" w:fill="auto"/>
            <w:noWrap/>
            <w:vAlign w:val="center"/>
          </w:tcPr>
          <w:p w14:paraId="52810081">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通用软件评估模型</w:t>
            </w:r>
          </w:p>
        </w:tc>
      </w:tr>
      <w:tr w14:paraId="610CF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blHeader/>
          <w:jc w:val="center"/>
        </w:trPr>
        <w:tc>
          <w:tcPr>
            <w:tcW w:w="2569" w:type="dxa"/>
            <w:gridSpan w:val="5"/>
            <w:shd w:val="clear" w:color="auto" w:fill="auto"/>
            <w:noWrap/>
            <w:vAlign w:val="center"/>
          </w:tcPr>
          <w:p w14:paraId="10762464">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度量策略阶段</w:t>
            </w:r>
          </w:p>
        </w:tc>
        <w:tc>
          <w:tcPr>
            <w:tcW w:w="5169" w:type="dxa"/>
            <w:gridSpan w:val="6"/>
            <w:shd w:val="clear" w:color="auto" w:fill="auto"/>
            <w:vAlign w:val="center"/>
          </w:tcPr>
          <w:p w14:paraId="3BB45A0F">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映射阶段</w:t>
            </w:r>
          </w:p>
        </w:tc>
        <w:tc>
          <w:tcPr>
            <w:tcW w:w="771" w:type="dxa"/>
            <w:shd w:val="clear" w:color="auto" w:fill="auto"/>
            <w:noWrap/>
            <w:vAlign w:val="center"/>
          </w:tcPr>
          <w:p w14:paraId="2403AC13">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度量阶段</w:t>
            </w:r>
          </w:p>
        </w:tc>
      </w:tr>
      <w:tr w14:paraId="0A29D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blHeader/>
          <w:jc w:val="center"/>
        </w:trPr>
        <w:tc>
          <w:tcPr>
            <w:tcW w:w="460" w:type="dxa"/>
            <w:vMerge w:val="restart"/>
            <w:shd w:val="clear" w:color="auto" w:fill="auto"/>
            <w:noWrap/>
            <w:vAlign w:val="center"/>
          </w:tcPr>
          <w:p w14:paraId="60C78A56">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客户需求</w:t>
            </w:r>
          </w:p>
        </w:tc>
        <w:tc>
          <w:tcPr>
            <w:tcW w:w="1451" w:type="dxa"/>
            <w:gridSpan w:val="3"/>
            <w:shd w:val="clear" w:color="auto" w:fill="auto"/>
            <w:noWrap/>
            <w:vAlign w:val="center"/>
          </w:tcPr>
          <w:p w14:paraId="1FBE7F9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功能用户需求</w:t>
            </w:r>
          </w:p>
        </w:tc>
        <w:tc>
          <w:tcPr>
            <w:tcW w:w="658" w:type="dxa"/>
            <w:vMerge w:val="restart"/>
            <w:shd w:val="clear" w:color="auto" w:fill="auto"/>
            <w:noWrap/>
            <w:vAlign w:val="center"/>
          </w:tcPr>
          <w:p w14:paraId="75F1A505">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功能用户</w:t>
            </w:r>
          </w:p>
        </w:tc>
        <w:tc>
          <w:tcPr>
            <w:tcW w:w="567" w:type="dxa"/>
            <w:vMerge w:val="restart"/>
            <w:shd w:val="clear" w:color="auto" w:fill="auto"/>
            <w:vAlign w:val="center"/>
          </w:tcPr>
          <w:p w14:paraId="59095183">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触发事件</w:t>
            </w:r>
          </w:p>
        </w:tc>
        <w:tc>
          <w:tcPr>
            <w:tcW w:w="1038" w:type="dxa"/>
            <w:vMerge w:val="restart"/>
            <w:shd w:val="clear" w:color="auto" w:fill="auto"/>
            <w:vAlign w:val="center"/>
          </w:tcPr>
          <w:p w14:paraId="67FE1672">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功能过程</w:t>
            </w:r>
          </w:p>
        </w:tc>
        <w:tc>
          <w:tcPr>
            <w:tcW w:w="875" w:type="dxa"/>
            <w:vMerge w:val="restart"/>
            <w:shd w:val="clear" w:color="auto" w:fill="auto"/>
            <w:noWrap/>
            <w:vAlign w:val="center"/>
          </w:tcPr>
          <w:p w14:paraId="7D3A7BD8">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子过程描述</w:t>
            </w:r>
          </w:p>
        </w:tc>
        <w:tc>
          <w:tcPr>
            <w:tcW w:w="630" w:type="dxa"/>
            <w:vMerge w:val="restart"/>
            <w:shd w:val="clear" w:color="auto" w:fill="auto"/>
            <w:vAlign w:val="center"/>
          </w:tcPr>
          <w:p w14:paraId="17840B11">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数据移动类型</w:t>
            </w:r>
          </w:p>
        </w:tc>
        <w:tc>
          <w:tcPr>
            <w:tcW w:w="935" w:type="dxa"/>
            <w:vMerge w:val="restart"/>
            <w:shd w:val="clear" w:color="auto" w:fill="auto"/>
            <w:noWrap/>
            <w:vAlign w:val="center"/>
          </w:tcPr>
          <w:p w14:paraId="198D4D4D">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数据组</w:t>
            </w:r>
          </w:p>
        </w:tc>
        <w:tc>
          <w:tcPr>
            <w:tcW w:w="1124" w:type="dxa"/>
            <w:vMerge w:val="restart"/>
            <w:shd w:val="clear" w:color="auto" w:fill="auto"/>
            <w:vAlign w:val="center"/>
          </w:tcPr>
          <w:p w14:paraId="2E850E43">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数据属性</w:t>
            </w:r>
          </w:p>
        </w:tc>
        <w:tc>
          <w:tcPr>
            <w:tcW w:w="771" w:type="dxa"/>
            <w:vMerge w:val="restart"/>
            <w:shd w:val="clear" w:color="auto" w:fill="auto"/>
            <w:noWrap/>
            <w:vAlign w:val="center"/>
          </w:tcPr>
          <w:p w14:paraId="1855694C">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CFP</w:t>
            </w:r>
          </w:p>
        </w:tc>
      </w:tr>
      <w:tr w14:paraId="2E593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blHeader/>
          <w:jc w:val="center"/>
        </w:trPr>
        <w:tc>
          <w:tcPr>
            <w:tcW w:w="460" w:type="dxa"/>
            <w:vMerge w:val="continue"/>
            <w:shd w:val="clear" w:color="auto" w:fill="auto"/>
            <w:noWrap/>
            <w:vAlign w:val="center"/>
          </w:tcPr>
          <w:p w14:paraId="20AF9D08">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shd w:val="clear" w:color="auto" w:fill="auto"/>
            <w:noWrap/>
            <w:vAlign w:val="center"/>
          </w:tcPr>
          <w:p w14:paraId="3EDD88CB">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一级模块</w:t>
            </w:r>
          </w:p>
        </w:tc>
        <w:tc>
          <w:tcPr>
            <w:tcW w:w="525" w:type="dxa"/>
            <w:shd w:val="clear" w:color="auto" w:fill="auto"/>
            <w:noWrap/>
            <w:vAlign w:val="center"/>
          </w:tcPr>
          <w:p w14:paraId="51633B29">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二级模块</w:t>
            </w:r>
          </w:p>
        </w:tc>
        <w:tc>
          <w:tcPr>
            <w:tcW w:w="509" w:type="dxa"/>
            <w:shd w:val="clear" w:color="auto" w:fill="auto"/>
            <w:noWrap/>
            <w:vAlign w:val="center"/>
          </w:tcPr>
          <w:p w14:paraId="6F3C01CB">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三级模块</w:t>
            </w:r>
          </w:p>
        </w:tc>
        <w:tc>
          <w:tcPr>
            <w:tcW w:w="658" w:type="dxa"/>
            <w:vMerge w:val="continue"/>
            <w:shd w:val="clear" w:color="auto" w:fill="auto"/>
            <w:noWrap/>
            <w:vAlign w:val="center"/>
          </w:tcPr>
          <w:p w14:paraId="4CBA807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4FEDA56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4FE29A95">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vMerge w:val="continue"/>
            <w:shd w:val="clear" w:color="auto" w:fill="auto"/>
            <w:noWrap/>
            <w:vAlign w:val="center"/>
          </w:tcPr>
          <w:p w14:paraId="2417897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30" w:type="dxa"/>
            <w:vMerge w:val="continue"/>
            <w:shd w:val="clear" w:color="auto" w:fill="auto"/>
            <w:vAlign w:val="center"/>
          </w:tcPr>
          <w:p w14:paraId="0E62AE62">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935" w:type="dxa"/>
            <w:vMerge w:val="continue"/>
            <w:shd w:val="clear" w:color="auto" w:fill="auto"/>
            <w:noWrap/>
            <w:vAlign w:val="center"/>
          </w:tcPr>
          <w:p w14:paraId="3C6FACF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124" w:type="dxa"/>
            <w:vMerge w:val="continue"/>
            <w:shd w:val="clear" w:color="auto" w:fill="auto"/>
            <w:vAlign w:val="center"/>
          </w:tcPr>
          <w:p w14:paraId="3E67180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771" w:type="dxa"/>
            <w:vMerge w:val="continue"/>
            <w:shd w:val="clear" w:color="auto" w:fill="auto"/>
            <w:noWrap/>
            <w:vAlign w:val="center"/>
          </w:tcPr>
          <w:p w14:paraId="46B51EA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r>
      <w:tr w14:paraId="3256A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460" w:type="dxa"/>
            <w:vMerge w:val="restart"/>
            <w:shd w:val="clear" w:color="auto" w:fill="auto"/>
            <w:vAlign w:val="center"/>
          </w:tcPr>
          <w:p w14:paraId="5311A3E7">
            <w:pPr>
              <w:pStyle w:val="9"/>
              <w:keepNext w:val="0"/>
              <w:keepLines w:val="0"/>
              <w:pageBreakBefore w:val="0"/>
              <w:kinsoku/>
              <w:wordWrap/>
              <w:overflowPunct/>
              <w:topLinePunct w:val="0"/>
              <w:autoSpaceDE/>
              <w:autoSpaceDN/>
              <w:bidi w:val="0"/>
              <w:adjustRightInd/>
              <w:spacing w:after="0" w:line="24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bidi="ar"/>
              </w:rPr>
              <w:t>一体化交付割接系统</w:t>
            </w:r>
          </w:p>
        </w:tc>
        <w:tc>
          <w:tcPr>
            <w:tcW w:w="417" w:type="dxa"/>
            <w:vMerge w:val="restart"/>
            <w:shd w:val="clear" w:color="auto" w:fill="auto"/>
            <w:vAlign w:val="center"/>
          </w:tcPr>
          <w:p w14:paraId="48A98EE0">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交付活动</w:t>
            </w:r>
          </w:p>
          <w:p w14:paraId="0D624D66">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与割接过程管理</w:t>
            </w:r>
          </w:p>
          <w:p w14:paraId="5FB82F4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restart"/>
            <w:shd w:val="clear" w:color="auto" w:fill="auto"/>
            <w:vAlign w:val="center"/>
          </w:tcPr>
          <w:p w14:paraId="5E8B983F">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交付活动管理</w:t>
            </w:r>
          </w:p>
        </w:tc>
        <w:tc>
          <w:tcPr>
            <w:tcW w:w="509" w:type="dxa"/>
            <w:vMerge w:val="restart"/>
            <w:shd w:val="clear" w:color="auto" w:fill="auto"/>
            <w:vAlign w:val="center"/>
          </w:tcPr>
          <w:p w14:paraId="4D2F1E97">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活动创建</w:t>
            </w:r>
          </w:p>
        </w:tc>
        <w:tc>
          <w:tcPr>
            <w:tcW w:w="658" w:type="dxa"/>
            <w:vMerge w:val="restart"/>
            <w:shd w:val="clear" w:color="auto" w:fill="auto"/>
            <w:vAlign w:val="center"/>
          </w:tcPr>
          <w:p w14:paraId="49EE128C">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发起者：系统运维人员</w:t>
            </w:r>
          </w:p>
          <w:p w14:paraId="13D5F4C9">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br w:type="textWrapping"/>
            </w:r>
            <w:r>
              <w:rPr>
                <w:rFonts w:hint="eastAsia" w:asciiTheme="minorEastAsia" w:hAnsiTheme="minorEastAsia" w:eastAsiaTheme="minorEastAsia" w:cstheme="minorEastAsia"/>
                <w:color w:val="000000"/>
                <w:kern w:val="0"/>
                <w:sz w:val="21"/>
                <w:szCs w:val="21"/>
                <w:lang w:bidi="ar"/>
              </w:rPr>
              <w:t>接收者：系统</w:t>
            </w:r>
          </w:p>
        </w:tc>
        <w:tc>
          <w:tcPr>
            <w:tcW w:w="567" w:type="dxa"/>
            <w:vMerge w:val="restart"/>
            <w:shd w:val="clear" w:color="auto" w:fill="auto"/>
            <w:vAlign w:val="center"/>
          </w:tcPr>
          <w:p w14:paraId="53A86CDD">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系统操作触发</w:t>
            </w:r>
          </w:p>
        </w:tc>
        <w:tc>
          <w:tcPr>
            <w:tcW w:w="1038" w:type="dxa"/>
            <w:vMerge w:val="restart"/>
            <w:shd w:val="clear" w:color="auto" w:fill="auto"/>
            <w:vAlign w:val="center"/>
          </w:tcPr>
          <w:p w14:paraId="368B0B09">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项目创建</w:t>
            </w:r>
          </w:p>
        </w:tc>
        <w:tc>
          <w:tcPr>
            <w:tcW w:w="875" w:type="dxa"/>
            <w:shd w:val="clear" w:color="auto" w:fill="auto"/>
            <w:vAlign w:val="center"/>
          </w:tcPr>
          <w:p w14:paraId="1C717B40">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输入项目信息</w:t>
            </w:r>
          </w:p>
        </w:tc>
        <w:tc>
          <w:tcPr>
            <w:tcW w:w="630" w:type="dxa"/>
            <w:shd w:val="clear" w:color="auto" w:fill="auto"/>
            <w:noWrap/>
            <w:vAlign w:val="center"/>
          </w:tcPr>
          <w:p w14:paraId="68AF8E61">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E</w:t>
            </w:r>
          </w:p>
        </w:tc>
        <w:tc>
          <w:tcPr>
            <w:tcW w:w="935" w:type="dxa"/>
            <w:shd w:val="clear" w:color="auto" w:fill="auto"/>
            <w:vAlign w:val="center"/>
          </w:tcPr>
          <w:p w14:paraId="46F651BA">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项目信息</w:t>
            </w:r>
          </w:p>
        </w:tc>
        <w:tc>
          <w:tcPr>
            <w:tcW w:w="1124" w:type="dxa"/>
            <w:shd w:val="clear" w:color="auto" w:fill="auto"/>
            <w:vAlign w:val="center"/>
          </w:tcPr>
          <w:p w14:paraId="022165DC">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项目名称、创建时间、XXX</w:t>
            </w:r>
          </w:p>
        </w:tc>
        <w:tc>
          <w:tcPr>
            <w:tcW w:w="771" w:type="dxa"/>
            <w:shd w:val="clear" w:color="auto" w:fill="auto"/>
            <w:noWrap/>
            <w:vAlign w:val="center"/>
          </w:tcPr>
          <w:p w14:paraId="3413F6F0">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1</w:t>
            </w:r>
          </w:p>
        </w:tc>
      </w:tr>
      <w:tr w14:paraId="46459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37D39528">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3DB65924">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4DD31CE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049BF1FA">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67ADA0D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4B6D39E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4444F509">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7946EA8E">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保存项目信息</w:t>
            </w:r>
          </w:p>
        </w:tc>
        <w:tc>
          <w:tcPr>
            <w:tcW w:w="630" w:type="dxa"/>
            <w:shd w:val="clear" w:color="auto" w:fill="auto"/>
            <w:noWrap/>
            <w:vAlign w:val="center"/>
          </w:tcPr>
          <w:p w14:paraId="73C68727">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W</w:t>
            </w:r>
          </w:p>
        </w:tc>
        <w:tc>
          <w:tcPr>
            <w:tcW w:w="935" w:type="dxa"/>
            <w:shd w:val="clear" w:color="auto" w:fill="auto"/>
            <w:vAlign w:val="center"/>
          </w:tcPr>
          <w:p w14:paraId="6B52DC45">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项目信息</w:t>
            </w:r>
          </w:p>
        </w:tc>
        <w:tc>
          <w:tcPr>
            <w:tcW w:w="1124" w:type="dxa"/>
            <w:shd w:val="clear" w:color="auto" w:fill="auto"/>
            <w:vAlign w:val="center"/>
          </w:tcPr>
          <w:p w14:paraId="26828564">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项目名称、创建时间、XXX</w:t>
            </w:r>
          </w:p>
        </w:tc>
        <w:tc>
          <w:tcPr>
            <w:tcW w:w="771" w:type="dxa"/>
            <w:shd w:val="clear" w:color="auto" w:fill="auto"/>
            <w:noWrap/>
            <w:vAlign w:val="center"/>
          </w:tcPr>
          <w:p w14:paraId="4B4618DD">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1</w:t>
            </w:r>
          </w:p>
        </w:tc>
      </w:tr>
      <w:tr w14:paraId="1F181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748A74B8">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5ADD934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2D0383CA">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23AFCBCA">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6742AE5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6D799BEA">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restart"/>
            <w:shd w:val="clear" w:color="auto" w:fill="auto"/>
            <w:vAlign w:val="center"/>
          </w:tcPr>
          <w:p w14:paraId="5661A3FB">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交付活动创建</w:t>
            </w:r>
          </w:p>
        </w:tc>
        <w:tc>
          <w:tcPr>
            <w:tcW w:w="875" w:type="dxa"/>
            <w:shd w:val="clear" w:color="auto" w:fill="auto"/>
            <w:vAlign w:val="center"/>
          </w:tcPr>
          <w:p w14:paraId="6BE41944">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输入交付活动信息</w:t>
            </w:r>
          </w:p>
        </w:tc>
        <w:tc>
          <w:tcPr>
            <w:tcW w:w="630" w:type="dxa"/>
            <w:shd w:val="clear" w:color="auto" w:fill="auto"/>
            <w:noWrap/>
            <w:vAlign w:val="center"/>
          </w:tcPr>
          <w:p w14:paraId="7FE0C42F">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E</w:t>
            </w:r>
          </w:p>
        </w:tc>
        <w:tc>
          <w:tcPr>
            <w:tcW w:w="935" w:type="dxa"/>
            <w:shd w:val="clear" w:color="auto" w:fill="auto"/>
            <w:vAlign w:val="center"/>
          </w:tcPr>
          <w:p w14:paraId="2598C60F">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交付活动信息</w:t>
            </w:r>
          </w:p>
        </w:tc>
        <w:tc>
          <w:tcPr>
            <w:tcW w:w="1124" w:type="dxa"/>
            <w:shd w:val="clear" w:color="auto" w:fill="auto"/>
            <w:vAlign w:val="center"/>
          </w:tcPr>
          <w:p w14:paraId="7CE0A8D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交付人员、交付时间、</w:t>
            </w:r>
          </w:p>
          <w:p w14:paraId="7FC7A6D7">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bidi="ar"/>
              </w:rPr>
              <w:t>XXX</w:t>
            </w:r>
          </w:p>
        </w:tc>
        <w:tc>
          <w:tcPr>
            <w:tcW w:w="771" w:type="dxa"/>
            <w:shd w:val="clear" w:color="auto" w:fill="auto"/>
            <w:noWrap/>
            <w:vAlign w:val="center"/>
          </w:tcPr>
          <w:p w14:paraId="1E865585">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1</w:t>
            </w:r>
          </w:p>
        </w:tc>
      </w:tr>
      <w:tr w14:paraId="1EFBE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1CE8DE4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6086434A">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33C2E16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099E0E4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009BC06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2FFDC86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040C9C84">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25139EC2">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保存交付活动信息</w:t>
            </w:r>
          </w:p>
        </w:tc>
        <w:tc>
          <w:tcPr>
            <w:tcW w:w="630" w:type="dxa"/>
            <w:shd w:val="clear" w:color="auto" w:fill="auto"/>
            <w:noWrap/>
            <w:vAlign w:val="center"/>
          </w:tcPr>
          <w:p w14:paraId="02EDABFC">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W</w:t>
            </w:r>
          </w:p>
        </w:tc>
        <w:tc>
          <w:tcPr>
            <w:tcW w:w="935" w:type="dxa"/>
            <w:shd w:val="clear" w:color="auto" w:fill="auto"/>
            <w:vAlign w:val="center"/>
          </w:tcPr>
          <w:p w14:paraId="15E83E46">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交付活动信息</w:t>
            </w:r>
          </w:p>
        </w:tc>
        <w:tc>
          <w:tcPr>
            <w:tcW w:w="1124" w:type="dxa"/>
            <w:shd w:val="clear" w:color="auto" w:fill="auto"/>
            <w:vAlign w:val="center"/>
          </w:tcPr>
          <w:p w14:paraId="6CBD6712">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交付人员、交付时间、</w:t>
            </w:r>
          </w:p>
          <w:p w14:paraId="22A9E1E9">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XXX</w:t>
            </w:r>
          </w:p>
        </w:tc>
        <w:tc>
          <w:tcPr>
            <w:tcW w:w="771" w:type="dxa"/>
            <w:shd w:val="clear" w:color="auto" w:fill="auto"/>
            <w:noWrap/>
            <w:vAlign w:val="center"/>
          </w:tcPr>
          <w:p w14:paraId="0CFEDB33">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kern w:val="0"/>
                <w:sz w:val="21"/>
                <w:szCs w:val="21"/>
                <w:lang w:bidi="ar"/>
              </w:rPr>
              <w:t>1</w:t>
            </w:r>
          </w:p>
        </w:tc>
      </w:tr>
      <w:tr w14:paraId="575D1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60" w:type="dxa"/>
            <w:vMerge w:val="continue"/>
            <w:shd w:val="clear" w:color="auto" w:fill="auto"/>
            <w:vAlign w:val="center"/>
          </w:tcPr>
          <w:p w14:paraId="1BE8A373">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1479B90E">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1FA466E4">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restart"/>
            <w:shd w:val="clear" w:color="auto" w:fill="auto"/>
            <w:vAlign w:val="center"/>
          </w:tcPr>
          <w:p w14:paraId="5C00C444">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割接计划管理</w:t>
            </w:r>
          </w:p>
        </w:tc>
        <w:tc>
          <w:tcPr>
            <w:tcW w:w="658" w:type="dxa"/>
            <w:vMerge w:val="continue"/>
            <w:shd w:val="clear" w:color="auto" w:fill="auto"/>
            <w:vAlign w:val="center"/>
          </w:tcPr>
          <w:p w14:paraId="1EB82C7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3F856F4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restart"/>
            <w:shd w:val="clear" w:color="auto" w:fill="auto"/>
            <w:vAlign w:val="center"/>
          </w:tcPr>
          <w:p w14:paraId="329D310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割接计划制定</w:t>
            </w:r>
          </w:p>
        </w:tc>
        <w:tc>
          <w:tcPr>
            <w:tcW w:w="875" w:type="dxa"/>
            <w:shd w:val="clear" w:color="auto" w:fill="auto"/>
            <w:vAlign w:val="center"/>
          </w:tcPr>
          <w:p w14:paraId="2C939435">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输入割接计划</w:t>
            </w:r>
          </w:p>
        </w:tc>
        <w:tc>
          <w:tcPr>
            <w:tcW w:w="630" w:type="dxa"/>
            <w:shd w:val="clear" w:color="auto" w:fill="auto"/>
            <w:noWrap/>
            <w:vAlign w:val="center"/>
          </w:tcPr>
          <w:p w14:paraId="2DD01908">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E</w:t>
            </w:r>
          </w:p>
        </w:tc>
        <w:tc>
          <w:tcPr>
            <w:tcW w:w="935" w:type="dxa"/>
            <w:shd w:val="clear" w:color="auto" w:fill="auto"/>
            <w:vAlign w:val="center"/>
          </w:tcPr>
          <w:p w14:paraId="61A797FD">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sz w:val="21"/>
                <w:szCs w:val="21"/>
              </w:rPr>
              <w:t>割接计划信息</w:t>
            </w:r>
          </w:p>
        </w:tc>
        <w:tc>
          <w:tcPr>
            <w:tcW w:w="1124" w:type="dxa"/>
            <w:shd w:val="clear" w:color="auto" w:fill="auto"/>
            <w:vAlign w:val="center"/>
          </w:tcPr>
          <w:p w14:paraId="6B612AB8">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割接时间、割接设备、XXX</w:t>
            </w:r>
          </w:p>
        </w:tc>
        <w:tc>
          <w:tcPr>
            <w:tcW w:w="771" w:type="dxa"/>
            <w:shd w:val="clear" w:color="auto" w:fill="auto"/>
            <w:noWrap/>
            <w:vAlign w:val="center"/>
          </w:tcPr>
          <w:p w14:paraId="5071E812">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450D5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2921FD73">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551BE07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2B78F98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5C0778C4">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01B2CFC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75AA18E2">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52A276F8">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3020810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保存割接计划</w:t>
            </w:r>
          </w:p>
        </w:tc>
        <w:tc>
          <w:tcPr>
            <w:tcW w:w="630" w:type="dxa"/>
            <w:shd w:val="clear" w:color="auto" w:fill="auto"/>
            <w:noWrap/>
            <w:vAlign w:val="center"/>
          </w:tcPr>
          <w:p w14:paraId="208BC2F1">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W</w:t>
            </w:r>
          </w:p>
        </w:tc>
        <w:tc>
          <w:tcPr>
            <w:tcW w:w="935" w:type="dxa"/>
            <w:shd w:val="clear" w:color="auto" w:fill="auto"/>
            <w:vAlign w:val="center"/>
          </w:tcPr>
          <w:p w14:paraId="1B66360A">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sz w:val="21"/>
                <w:szCs w:val="21"/>
              </w:rPr>
              <w:t>割接计划信息</w:t>
            </w:r>
          </w:p>
        </w:tc>
        <w:tc>
          <w:tcPr>
            <w:tcW w:w="1124" w:type="dxa"/>
            <w:shd w:val="clear" w:color="auto" w:fill="auto"/>
            <w:vAlign w:val="center"/>
          </w:tcPr>
          <w:p w14:paraId="7FAF7389">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割接时间、割接设备、XXX</w:t>
            </w:r>
          </w:p>
        </w:tc>
        <w:tc>
          <w:tcPr>
            <w:tcW w:w="771" w:type="dxa"/>
            <w:shd w:val="clear" w:color="auto" w:fill="auto"/>
            <w:noWrap/>
            <w:vAlign w:val="center"/>
          </w:tcPr>
          <w:p w14:paraId="27ED707E">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29839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60" w:type="dxa"/>
            <w:vMerge w:val="continue"/>
            <w:shd w:val="clear" w:color="auto" w:fill="auto"/>
            <w:vAlign w:val="center"/>
          </w:tcPr>
          <w:p w14:paraId="7373C0B5">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16949DA3">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7FF1691C">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4740A2F3">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66D5881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0E9378B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restart"/>
            <w:shd w:val="clear" w:color="auto" w:fill="auto"/>
            <w:vAlign w:val="center"/>
          </w:tcPr>
          <w:p w14:paraId="26B81D35">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割接计划查询</w:t>
            </w:r>
          </w:p>
        </w:tc>
        <w:tc>
          <w:tcPr>
            <w:tcW w:w="875" w:type="dxa"/>
            <w:shd w:val="clear" w:color="auto" w:fill="auto"/>
            <w:vAlign w:val="center"/>
          </w:tcPr>
          <w:p w14:paraId="59F46C22">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输入查询条件</w:t>
            </w:r>
          </w:p>
        </w:tc>
        <w:tc>
          <w:tcPr>
            <w:tcW w:w="630" w:type="dxa"/>
            <w:shd w:val="clear" w:color="auto" w:fill="auto"/>
            <w:noWrap/>
            <w:vAlign w:val="center"/>
          </w:tcPr>
          <w:p w14:paraId="093DCF3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E</w:t>
            </w:r>
          </w:p>
        </w:tc>
        <w:tc>
          <w:tcPr>
            <w:tcW w:w="935" w:type="dxa"/>
            <w:shd w:val="clear" w:color="auto" w:fill="auto"/>
            <w:vAlign w:val="center"/>
          </w:tcPr>
          <w:p w14:paraId="4FB98009">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割接查询条件</w:t>
            </w:r>
          </w:p>
        </w:tc>
        <w:tc>
          <w:tcPr>
            <w:tcW w:w="1124" w:type="dxa"/>
            <w:shd w:val="clear" w:color="auto" w:fill="auto"/>
            <w:vAlign w:val="center"/>
          </w:tcPr>
          <w:p w14:paraId="304121EF">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割接时间、割接设备、XXX</w:t>
            </w:r>
          </w:p>
        </w:tc>
        <w:tc>
          <w:tcPr>
            <w:tcW w:w="771" w:type="dxa"/>
            <w:shd w:val="clear" w:color="auto" w:fill="auto"/>
            <w:noWrap/>
            <w:vAlign w:val="center"/>
          </w:tcPr>
          <w:p w14:paraId="43603F42">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5B29E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2081C8C3">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3FAB0CF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314AEE5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179272E3">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32C8C33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63C3FA84">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462E8CF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55809ADA">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查询割接计划</w:t>
            </w:r>
          </w:p>
        </w:tc>
        <w:tc>
          <w:tcPr>
            <w:tcW w:w="630" w:type="dxa"/>
            <w:shd w:val="clear" w:color="auto" w:fill="auto"/>
            <w:noWrap/>
            <w:vAlign w:val="center"/>
          </w:tcPr>
          <w:p w14:paraId="6A52CD5A">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R</w:t>
            </w:r>
          </w:p>
        </w:tc>
        <w:tc>
          <w:tcPr>
            <w:tcW w:w="935" w:type="dxa"/>
            <w:shd w:val="clear" w:color="auto" w:fill="auto"/>
            <w:vAlign w:val="center"/>
          </w:tcPr>
          <w:p w14:paraId="2EE613A8">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sz w:val="21"/>
                <w:szCs w:val="21"/>
              </w:rPr>
              <w:t>割接计划信息</w:t>
            </w:r>
          </w:p>
        </w:tc>
        <w:tc>
          <w:tcPr>
            <w:tcW w:w="1124" w:type="dxa"/>
            <w:shd w:val="clear" w:color="auto" w:fill="auto"/>
            <w:vAlign w:val="center"/>
          </w:tcPr>
          <w:p w14:paraId="027C04E8">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割接时间、割接设备、XXX</w:t>
            </w:r>
          </w:p>
        </w:tc>
        <w:tc>
          <w:tcPr>
            <w:tcW w:w="771" w:type="dxa"/>
            <w:shd w:val="clear" w:color="auto" w:fill="auto"/>
            <w:noWrap/>
            <w:vAlign w:val="center"/>
          </w:tcPr>
          <w:p w14:paraId="3E5A4A94">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6FC29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1FC1457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08557512">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50ED123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4238DEC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5A9E2C8A">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1A3EF3F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61B7C47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74672624">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展示割接计划列表</w:t>
            </w:r>
          </w:p>
        </w:tc>
        <w:tc>
          <w:tcPr>
            <w:tcW w:w="630" w:type="dxa"/>
            <w:shd w:val="clear" w:color="auto" w:fill="auto"/>
            <w:noWrap/>
            <w:vAlign w:val="center"/>
          </w:tcPr>
          <w:p w14:paraId="78C709A4">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X</w:t>
            </w:r>
          </w:p>
        </w:tc>
        <w:tc>
          <w:tcPr>
            <w:tcW w:w="935" w:type="dxa"/>
            <w:shd w:val="clear" w:color="auto" w:fill="auto"/>
            <w:vAlign w:val="center"/>
          </w:tcPr>
          <w:p w14:paraId="48392B26">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sz w:val="21"/>
                <w:szCs w:val="21"/>
              </w:rPr>
              <w:t>割接计划信息</w:t>
            </w:r>
          </w:p>
        </w:tc>
        <w:tc>
          <w:tcPr>
            <w:tcW w:w="1124" w:type="dxa"/>
            <w:shd w:val="clear" w:color="auto" w:fill="auto"/>
            <w:vAlign w:val="center"/>
          </w:tcPr>
          <w:p w14:paraId="4085C406">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割接时间、割接设备、XXX</w:t>
            </w:r>
          </w:p>
        </w:tc>
        <w:tc>
          <w:tcPr>
            <w:tcW w:w="771" w:type="dxa"/>
            <w:shd w:val="clear" w:color="auto" w:fill="auto"/>
            <w:noWrap/>
            <w:vAlign w:val="center"/>
          </w:tcPr>
          <w:p w14:paraId="1D84BB27">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7A2D8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60" w:type="dxa"/>
            <w:vMerge w:val="continue"/>
            <w:shd w:val="clear" w:color="auto" w:fill="auto"/>
            <w:vAlign w:val="center"/>
          </w:tcPr>
          <w:p w14:paraId="7B7E375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7C9E47D1">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301BF63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27C94994">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3FEAFD1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06C5BD3A">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restart"/>
            <w:shd w:val="clear" w:color="auto" w:fill="auto"/>
            <w:vAlign w:val="center"/>
          </w:tcPr>
          <w:p w14:paraId="3671341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割接计划变更</w:t>
            </w:r>
          </w:p>
        </w:tc>
        <w:tc>
          <w:tcPr>
            <w:tcW w:w="875" w:type="dxa"/>
            <w:shd w:val="clear" w:color="auto" w:fill="auto"/>
            <w:vAlign w:val="center"/>
          </w:tcPr>
          <w:p w14:paraId="6E8D3C10">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输入割接计划变更信息</w:t>
            </w:r>
          </w:p>
        </w:tc>
        <w:tc>
          <w:tcPr>
            <w:tcW w:w="630" w:type="dxa"/>
            <w:shd w:val="clear" w:color="auto" w:fill="auto"/>
            <w:noWrap/>
            <w:vAlign w:val="center"/>
          </w:tcPr>
          <w:p w14:paraId="220E1A02">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E</w:t>
            </w:r>
          </w:p>
        </w:tc>
        <w:tc>
          <w:tcPr>
            <w:tcW w:w="935" w:type="dxa"/>
            <w:shd w:val="clear" w:color="auto" w:fill="auto"/>
            <w:vAlign w:val="center"/>
          </w:tcPr>
          <w:p w14:paraId="5CCE90E0">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sz w:val="21"/>
                <w:szCs w:val="21"/>
              </w:rPr>
              <w:t>割接计划变更信息</w:t>
            </w:r>
          </w:p>
        </w:tc>
        <w:tc>
          <w:tcPr>
            <w:tcW w:w="1124" w:type="dxa"/>
            <w:shd w:val="clear" w:color="auto" w:fill="auto"/>
            <w:vAlign w:val="center"/>
          </w:tcPr>
          <w:p w14:paraId="2707912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割接时间、割接设备、XXX</w:t>
            </w:r>
          </w:p>
        </w:tc>
        <w:tc>
          <w:tcPr>
            <w:tcW w:w="771" w:type="dxa"/>
            <w:shd w:val="clear" w:color="auto" w:fill="auto"/>
            <w:noWrap/>
            <w:vAlign w:val="center"/>
          </w:tcPr>
          <w:p w14:paraId="5A93EE99">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0301D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02FF936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67CB26A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27F8A20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3412440A">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1474D8C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2FA11CE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500A07C9">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4DE2F936">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保存割接计划变更信息</w:t>
            </w:r>
          </w:p>
        </w:tc>
        <w:tc>
          <w:tcPr>
            <w:tcW w:w="630" w:type="dxa"/>
            <w:shd w:val="clear" w:color="auto" w:fill="auto"/>
            <w:noWrap/>
            <w:vAlign w:val="center"/>
          </w:tcPr>
          <w:p w14:paraId="76C07B3A">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W</w:t>
            </w:r>
          </w:p>
        </w:tc>
        <w:tc>
          <w:tcPr>
            <w:tcW w:w="935" w:type="dxa"/>
            <w:shd w:val="clear" w:color="auto" w:fill="auto"/>
            <w:vAlign w:val="center"/>
          </w:tcPr>
          <w:p w14:paraId="3DF6937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sz w:val="21"/>
                <w:szCs w:val="21"/>
              </w:rPr>
              <w:t>割接计划变更信息</w:t>
            </w:r>
          </w:p>
        </w:tc>
        <w:tc>
          <w:tcPr>
            <w:tcW w:w="1124" w:type="dxa"/>
            <w:shd w:val="clear" w:color="auto" w:fill="auto"/>
            <w:vAlign w:val="center"/>
          </w:tcPr>
          <w:p w14:paraId="6F8C511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割接时间、割接设备、XXX</w:t>
            </w:r>
          </w:p>
        </w:tc>
        <w:tc>
          <w:tcPr>
            <w:tcW w:w="771" w:type="dxa"/>
            <w:shd w:val="clear" w:color="auto" w:fill="auto"/>
            <w:noWrap/>
            <w:vAlign w:val="center"/>
          </w:tcPr>
          <w:p w14:paraId="56985F60">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20946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6692E5A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2E701BC9">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restart"/>
            <w:shd w:val="clear" w:color="auto" w:fill="auto"/>
            <w:vAlign w:val="center"/>
          </w:tcPr>
          <w:p w14:paraId="16A28C6C">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割接过程管理</w:t>
            </w:r>
          </w:p>
        </w:tc>
        <w:tc>
          <w:tcPr>
            <w:tcW w:w="509" w:type="dxa"/>
            <w:vMerge w:val="restart"/>
            <w:shd w:val="clear" w:color="auto" w:fill="auto"/>
            <w:vAlign w:val="center"/>
          </w:tcPr>
          <w:p w14:paraId="421659E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割接过程管理</w:t>
            </w:r>
          </w:p>
        </w:tc>
        <w:tc>
          <w:tcPr>
            <w:tcW w:w="658" w:type="dxa"/>
            <w:vMerge w:val="continue"/>
            <w:shd w:val="clear" w:color="auto" w:fill="auto"/>
            <w:vAlign w:val="center"/>
          </w:tcPr>
          <w:p w14:paraId="06E90139">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7C36B022">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restart"/>
            <w:shd w:val="clear" w:color="auto" w:fill="auto"/>
            <w:vAlign w:val="center"/>
          </w:tcPr>
          <w:p w14:paraId="4B1DB8D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割接过程监控</w:t>
            </w:r>
          </w:p>
        </w:tc>
        <w:tc>
          <w:tcPr>
            <w:tcW w:w="875" w:type="dxa"/>
            <w:shd w:val="clear" w:color="auto" w:fill="auto"/>
            <w:vAlign w:val="center"/>
          </w:tcPr>
          <w:p w14:paraId="2B87933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输入监控请求</w:t>
            </w:r>
          </w:p>
        </w:tc>
        <w:tc>
          <w:tcPr>
            <w:tcW w:w="630" w:type="dxa"/>
            <w:shd w:val="clear" w:color="auto" w:fill="auto"/>
            <w:noWrap/>
            <w:vAlign w:val="center"/>
          </w:tcPr>
          <w:p w14:paraId="02238751">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E</w:t>
            </w:r>
          </w:p>
        </w:tc>
        <w:tc>
          <w:tcPr>
            <w:tcW w:w="935" w:type="dxa"/>
            <w:shd w:val="clear" w:color="auto" w:fill="auto"/>
            <w:vAlign w:val="center"/>
          </w:tcPr>
          <w:p w14:paraId="71AE58D5">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请求信息</w:t>
            </w:r>
          </w:p>
        </w:tc>
        <w:tc>
          <w:tcPr>
            <w:tcW w:w="1124" w:type="dxa"/>
            <w:shd w:val="clear" w:color="auto" w:fill="auto"/>
            <w:vAlign w:val="center"/>
          </w:tcPr>
          <w:p w14:paraId="4411C73B">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请求信息</w:t>
            </w:r>
          </w:p>
        </w:tc>
        <w:tc>
          <w:tcPr>
            <w:tcW w:w="771" w:type="dxa"/>
            <w:shd w:val="clear" w:color="auto" w:fill="auto"/>
            <w:noWrap/>
            <w:vAlign w:val="center"/>
          </w:tcPr>
          <w:p w14:paraId="6B1F3674">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007E4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29CC2B8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3350BB45">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5855CC09">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6046080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666CB74E">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4D5589BC">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46D9103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72FB7612">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获取割接过程监控信息</w:t>
            </w:r>
          </w:p>
        </w:tc>
        <w:tc>
          <w:tcPr>
            <w:tcW w:w="630" w:type="dxa"/>
            <w:shd w:val="clear" w:color="auto" w:fill="auto"/>
            <w:noWrap/>
            <w:vAlign w:val="center"/>
          </w:tcPr>
          <w:p w14:paraId="450E710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R</w:t>
            </w:r>
          </w:p>
        </w:tc>
        <w:tc>
          <w:tcPr>
            <w:tcW w:w="935" w:type="dxa"/>
            <w:shd w:val="clear" w:color="auto" w:fill="auto"/>
            <w:vAlign w:val="center"/>
          </w:tcPr>
          <w:p w14:paraId="5CAF801B">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割接过程信息</w:t>
            </w:r>
          </w:p>
        </w:tc>
        <w:tc>
          <w:tcPr>
            <w:tcW w:w="1124" w:type="dxa"/>
            <w:shd w:val="clear" w:color="auto" w:fill="auto"/>
            <w:vAlign w:val="center"/>
          </w:tcPr>
          <w:p w14:paraId="78391A35">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割接过程信息</w:t>
            </w:r>
          </w:p>
        </w:tc>
        <w:tc>
          <w:tcPr>
            <w:tcW w:w="771" w:type="dxa"/>
            <w:shd w:val="clear" w:color="auto" w:fill="auto"/>
            <w:noWrap/>
            <w:vAlign w:val="center"/>
          </w:tcPr>
          <w:p w14:paraId="31B117E2">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5EEE0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6E768D1E">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5E736E4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29FA1EC4">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568D7352">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1DAC008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278FC93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3B982CC2">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71E3EACD">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割接过程展示</w:t>
            </w:r>
          </w:p>
        </w:tc>
        <w:tc>
          <w:tcPr>
            <w:tcW w:w="630" w:type="dxa"/>
            <w:shd w:val="clear" w:color="auto" w:fill="auto"/>
            <w:noWrap/>
            <w:vAlign w:val="center"/>
          </w:tcPr>
          <w:p w14:paraId="27C97761">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X</w:t>
            </w:r>
          </w:p>
        </w:tc>
        <w:tc>
          <w:tcPr>
            <w:tcW w:w="935" w:type="dxa"/>
            <w:shd w:val="clear" w:color="auto" w:fill="auto"/>
            <w:vAlign w:val="center"/>
          </w:tcPr>
          <w:p w14:paraId="591C576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割接过程信息</w:t>
            </w:r>
          </w:p>
        </w:tc>
        <w:tc>
          <w:tcPr>
            <w:tcW w:w="1124" w:type="dxa"/>
            <w:shd w:val="clear" w:color="auto" w:fill="auto"/>
            <w:vAlign w:val="center"/>
          </w:tcPr>
          <w:p w14:paraId="400A5E4E">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割接过程信息</w:t>
            </w:r>
          </w:p>
        </w:tc>
        <w:tc>
          <w:tcPr>
            <w:tcW w:w="771" w:type="dxa"/>
            <w:shd w:val="clear" w:color="auto" w:fill="auto"/>
            <w:noWrap/>
            <w:vAlign w:val="center"/>
          </w:tcPr>
          <w:p w14:paraId="3F76098D">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5DDEE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6D5BE0C1">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4E72C2B5">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15A293D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34458BE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46DB2862">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43097B5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restart"/>
            <w:shd w:val="clear" w:color="auto" w:fill="auto"/>
            <w:vAlign w:val="center"/>
          </w:tcPr>
          <w:p w14:paraId="36D4324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节点发送消息通知</w:t>
            </w:r>
          </w:p>
        </w:tc>
        <w:tc>
          <w:tcPr>
            <w:tcW w:w="875" w:type="dxa"/>
            <w:shd w:val="clear" w:color="auto" w:fill="auto"/>
            <w:vAlign w:val="center"/>
          </w:tcPr>
          <w:p w14:paraId="549FA074">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输入消息</w:t>
            </w:r>
          </w:p>
        </w:tc>
        <w:tc>
          <w:tcPr>
            <w:tcW w:w="630" w:type="dxa"/>
            <w:shd w:val="clear" w:color="auto" w:fill="auto"/>
            <w:noWrap/>
            <w:vAlign w:val="center"/>
          </w:tcPr>
          <w:p w14:paraId="0DDFE19B">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E</w:t>
            </w:r>
          </w:p>
        </w:tc>
        <w:tc>
          <w:tcPr>
            <w:tcW w:w="935" w:type="dxa"/>
            <w:shd w:val="clear" w:color="auto" w:fill="auto"/>
            <w:vAlign w:val="center"/>
          </w:tcPr>
          <w:p w14:paraId="7F2520CE">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消息通知</w:t>
            </w:r>
          </w:p>
        </w:tc>
        <w:tc>
          <w:tcPr>
            <w:tcW w:w="1124" w:type="dxa"/>
            <w:shd w:val="clear" w:color="auto" w:fill="auto"/>
            <w:vAlign w:val="center"/>
          </w:tcPr>
          <w:p w14:paraId="6330965A">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消息通知</w:t>
            </w:r>
          </w:p>
        </w:tc>
        <w:tc>
          <w:tcPr>
            <w:tcW w:w="771" w:type="dxa"/>
            <w:shd w:val="clear" w:color="auto" w:fill="auto"/>
            <w:noWrap/>
            <w:vAlign w:val="center"/>
          </w:tcPr>
          <w:p w14:paraId="42597D69">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31057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59A2127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33180BA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149E91A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4503209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7D5B1305">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6306804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5F19B6E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630EB0DE">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发送消息</w:t>
            </w:r>
          </w:p>
        </w:tc>
        <w:tc>
          <w:tcPr>
            <w:tcW w:w="630" w:type="dxa"/>
            <w:shd w:val="clear" w:color="auto" w:fill="auto"/>
            <w:noWrap/>
            <w:vAlign w:val="center"/>
          </w:tcPr>
          <w:p w14:paraId="3D21ED0D">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X</w:t>
            </w:r>
          </w:p>
        </w:tc>
        <w:tc>
          <w:tcPr>
            <w:tcW w:w="935" w:type="dxa"/>
            <w:shd w:val="clear" w:color="auto" w:fill="auto"/>
            <w:vAlign w:val="center"/>
          </w:tcPr>
          <w:p w14:paraId="319EE5A6">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消息通知</w:t>
            </w:r>
          </w:p>
        </w:tc>
        <w:tc>
          <w:tcPr>
            <w:tcW w:w="1124" w:type="dxa"/>
            <w:shd w:val="clear" w:color="auto" w:fill="auto"/>
            <w:vAlign w:val="center"/>
          </w:tcPr>
          <w:p w14:paraId="359D626A">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消息通知</w:t>
            </w:r>
          </w:p>
        </w:tc>
        <w:tc>
          <w:tcPr>
            <w:tcW w:w="771" w:type="dxa"/>
            <w:shd w:val="clear" w:color="auto" w:fill="auto"/>
            <w:noWrap/>
            <w:vAlign w:val="center"/>
          </w:tcPr>
          <w:p w14:paraId="1B37E635">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36D58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0C8DF69E">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63A14FAE">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2AC42F3E">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0A69EBF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34C2EB0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379A4253">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2F13399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11417AD4">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提示“发送成功”</w:t>
            </w:r>
          </w:p>
        </w:tc>
        <w:tc>
          <w:tcPr>
            <w:tcW w:w="630" w:type="dxa"/>
            <w:shd w:val="clear" w:color="auto" w:fill="auto"/>
            <w:noWrap/>
            <w:vAlign w:val="center"/>
          </w:tcPr>
          <w:p w14:paraId="5557D13C">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X</w:t>
            </w:r>
          </w:p>
        </w:tc>
        <w:tc>
          <w:tcPr>
            <w:tcW w:w="935" w:type="dxa"/>
            <w:shd w:val="clear" w:color="auto" w:fill="auto"/>
            <w:vAlign w:val="center"/>
          </w:tcPr>
          <w:p w14:paraId="569FEB47">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提示信息</w:t>
            </w:r>
          </w:p>
        </w:tc>
        <w:tc>
          <w:tcPr>
            <w:tcW w:w="1124" w:type="dxa"/>
            <w:shd w:val="clear" w:color="auto" w:fill="auto"/>
            <w:vAlign w:val="center"/>
          </w:tcPr>
          <w:p w14:paraId="405510E5">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提示信息</w:t>
            </w:r>
          </w:p>
        </w:tc>
        <w:tc>
          <w:tcPr>
            <w:tcW w:w="771" w:type="dxa"/>
            <w:shd w:val="clear" w:color="auto" w:fill="auto"/>
            <w:noWrap/>
            <w:vAlign w:val="center"/>
          </w:tcPr>
          <w:p w14:paraId="38AD3BDA">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10047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60" w:type="dxa"/>
            <w:vMerge w:val="continue"/>
            <w:shd w:val="clear" w:color="auto" w:fill="auto"/>
            <w:vAlign w:val="center"/>
          </w:tcPr>
          <w:p w14:paraId="68392EE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139D61C5">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39163AE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4305F91C">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49AE3A4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3FF43D51">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restart"/>
            <w:shd w:val="clear" w:color="auto" w:fill="auto"/>
            <w:vAlign w:val="center"/>
          </w:tcPr>
          <w:p w14:paraId="04ADEC73">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查看割接过程视图</w:t>
            </w:r>
          </w:p>
        </w:tc>
        <w:tc>
          <w:tcPr>
            <w:tcW w:w="875" w:type="dxa"/>
            <w:shd w:val="clear" w:color="auto" w:fill="auto"/>
            <w:vAlign w:val="center"/>
          </w:tcPr>
          <w:p w14:paraId="478A8174">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输入查看视图请求</w:t>
            </w:r>
          </w:p>
        </w:tc>
        <w:tc>
          <w:tcPr>
            <w:tcW w:w="630" w:type="dxa"/>
            <w:shd w:val="clear" w:color="auto" w:fill="auto"/>
            <w:noWrap/>
            <w:vAlign w:val="center"/>
          </w:tcPr>
          <w:p w14:paraId="41B81CD6">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E</w:t>
            </w:r>
          </w:p>
        </w:tc>
        <w:tc>
          <w:tcPr>
            <w:tcW w:w="935" w:type="dxa"/>
            <w:shd w:val="clear" w:color="auto" w:fill="auto"/>
            <w:vAlign w:val="center"/>
          </w:tcPr>
          <w:p w14:paraId="1996C363">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请求信息</w:t>
            </w:r>
          </w:p>
        </w:tc>
        <w:tc>
          <w:tcPr>
            <w:tcW w:w="1124" w:type="dxa"/>
            <w:shd w:val="clear" w:color="auto" w:fill="auto"/>
            <w:vAlign w:val="center"/>
          </w:tcPr>
          <w:p w14:paraId="4DF23546">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请求信息</w:t>
            </w:r>
          </w:p>
        </w:tc>
        <w:tc>
          <w:tcPr>
            <w:tcW w:w="771" w:type="dxa"/>
            <w:shd w:val="clear" w:color="auto" w:fill="auto"/>
            <w:noWrap/>
            <w:vAlign w:val="center"/>
          </w:tcPr>
          <w:p w14:paraId="50A72E05">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7F7E2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460" w:type="dxa"/>
            <w:vMerge w:val="continue"/>
            <w:shd w:val="clear" w:color="auto" w:fill="auto"/>
            <w:vAlign w:val="center"/>
          </w:tcPr>
          <w:p w14:paraId="5F01C61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79DA1852">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7696B6E6">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0085970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1336AA7E">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08175CB7">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24578CE8">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3C283466">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查看割接视图</w:t>
            </w:r>
          </w:p>
        </w:tc>
        <w:tc>
          <w:tcPr>
            <w:tcW w:w="630" w:type="dxa"/>
            <w:shd w:val="clear" w:color="auto" w:fill="auto"/>
            <w:noWrap/>
            <w:vAlign w:val="center"/>
          </w:tcPr>
          <w:p w14:paraId="3014DB4D">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R</w:t>
            </w:r>
          </w:p>
        </w:tc>
        <w:tc>
          <w:tcPr>
            <w:tcW w:w="935" w:type="dxa"/>
            <w:shd w:val="clear" w:color="auto" w:fill="auto"/>
            <w:vAlign w:val="center"/>
          </w:tcPr>
          <w:p w14:paraId="49D576FA">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割接视图信息</w:t>
            </w:r>
          </w:p>
        </w:tc>
        <w:tc>
          <w:tcPr>
            <w:tcW w:w="1124" w:type="dxa"/>
            <w:shd w:val="clear" w:color="auto" w:fill="auto"/>
            <w:vAlign w:val="center"/>
          </w:tcPr>
          <w:p w14:paraId="1FCD8699">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割接视图信息</w:t>
            </w:r>
          </w:p>
        </w:tc>
        <w:tc>
          <w:tcPr>
            <w:tcW w:w="771" w:type="dxa"/>
            <w:shd w:val="clear" w:color="auto" w:fill="auto"/>
            <w:noWrap/>
            <w:vAlign w:val="center"/>
          </w:tcPr>
          <w:p w14:paraId="2E4BE3B9">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r w14:paraId="24FCE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460" w:type="dxa"/>
            <w:vMerge w:val="continue"/>
            <w:shd w:val="clear" w:color="auto" w:fill="auto"/>
            <w:vAlign w:val="center"/>
          </w:tcPr>
          <w:p w14:paraId="5457D2BD">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417" w:type="dxa"/>
            <w:vMerge w:val="continue"/>
            <w:shd w:val="clear" w:color="auto" w:fill="auto"/>
            <w:vAlign w:val="center"/>
          </w:tcPr>
          <w:p w14:paraId="3E1F3595">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25" w:type="dxa"/>
            <w:vMerge w:val="continue"/>
            <w:shd w:val="clear" w:color="auto" w:fill="auto"/>
            <w:vAlign w:val="center"/>
          </w:tcPr>
          <w:p w14:paraId="42134084">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09" w:type="dxa"/>
            <w:vMerge w:val="continue"/>
            <w:shd w:val="clear" w:color="auto" w:fill="auto"/>
            <w:vAlign w:val="center"/>
          </w:tcPr>
          <w:p w14:paraId="7B28812F">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658" w:type="dxa"/>
            <w:vMerge w:val="continue"/>
            <w:shd w:val="clear" w:color="auto" w:fill="auto"/>
            <w:vAlign w:val="center"/>
          </w:tcPr>
          <w:p w14:paraId="4CBB3B21">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567" w:type="dxa"/>
            <w:vMerge w:val="continue"/>
            <w:shd w:val="clear" w:color="auto" w:fill="auto"/>
            <w:vAlign w:val="center"/>
          </w:tcPr>
          <w:p w14:paraId="6D7C73AB">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1038" w:type="dxa"/>
            <w:vMerge w:val="continue"/>
            <w:shd w:val="clear" w:color="auto" w:fill="auto"/>
            <w:vAlign w:val="center"/>
          </w:tcPr>
          <w:p w14:paraId="06767930">
            <w:pPr>
              <w:keepNext w:val="0"/>
              <w:keepLines w:val="0"/>
              <w:pageBreakBefore w:val="0"/>
              <w:widowControl/>
              <w:kinsoku/>
              <w:wordWrap/>
              <w:overflowPunct/>
              <w:topLinePunct w:val="0"/>
              <w:autoSpaceDE/>
              <w:autoSpaceDN/>
              <w:bidi w:val="0"/>
              <w:adjustRightInd/>
              <w:snapToGrid w:val="0"/>
              <w:spacing w:line="240" w:lineRule="auto"/>
              <w:jc w:val="center"/>
              <w:rPr>
                <w:rFonts w:hint="eastAsia" w:asciiTheme="minorEastAsia" w:hAnsiTheme="minorEastAsia" w:eastAsiaTheme="minorEastAsia" w:cstheme="minorEastAsia"/>
                <w:color w:val="000000"/>
                <w:sz w:val="21"/>
                <w:szCs w:val="21"/>
              </w:rPr>
            </w:pPr>
          </w:p>
        </w:tc>
        <w:tc>
          <w:tcPr>
            <w:tcW w:w="875" w:type="dxa"/>
            <w:shd w:val="clear" w:color="auto" w:fill="auto"/>
            <w:vAlign w:val="center"/>
          </w:tcPr>
          <w:p w14:paraId="50E4C835">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割接视图展示</w:t>
            </w:r>
          </w:p>
        </w:tc>
        <w:tc>
          <w:tcPr>
            <w:tcW w:w="630" w:type="dxa"/>
            <w:shd w:val="clear" w:color="auto" w:fill="auto"/>
            <w:noWrap/>
            <w:vAlign w:val="center"/>
          </w:tcPr>
          <w:p w14:paraId="42E7A6C2">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X</w:t>
            </w:r>
          </w:p>
        </w:tc>
        <w:tc>
          <w:tcPr>
            <w:tcW w:w="935" w:type="dxa"/>
            <w:shd w:val="clear" w:color="auto" w:fill="auto"/>
            <w:vAlign w:val="center"/>
          </w:tcPr>
          <w:p w14:paraId="09F9BEF8">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割接视图信息</w:t>
            </w:r>
          </w:p>
        </w:tc>
        <w:tc>
          <w:tcPr>
            <w:tcW w:w="1124" w:type="dxa"/>
            <w:shd w:val="clear" w:color="auto" w:fill="auto"/>
            <w:vAlign w:val="center"/>
          </w:tcPr>
          <w:p w14:paraId="5FDFC078">
            <w:pPr>
              <w:keepNext w:val="0"/>
              <w:keepLines w:val="0"/>
              <w:pageBreakBefore w:val="0"/>
              <w:widowControl/>
              <w:kinsoku/>
              <w:wordWrap/>
              <w:overflowPunct/>
              <w:topLinePunct w:val="0"/>
              <w:autoSpaceDE/>
              <w:autoSpaceDN/>
              <w:bidi w:val="0"/>
              <w:adjustRightInd/>
              <w:snapToGrid w:val="0"/>
              <w:spacing w:line="240" w:lineRule="auto"/>
              <w:jc w:val="center"/>
              <w:textAlignment w:val="top"/>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割接视图信息</w:t>
            </w:r>
          </w:p>
        </w:tc>
        <w:tc>
          <w:tcPr>
            <w:tcW w:w="771" w:type="dxa"/>
            <w:shd w:val="clear" w:color="auto" w:fill="auto"/>
            <w:noWrap/>
            <w:vAlign w:val="center"/>
          </w:tcPr>
          <w:p w14:paraId="7A64BF46">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color w:val="000000"/>
                <w:kern w:val="0"/>
                <w:sz w:val="21"/>
                <w:szCs w:val="21"/>
                <w:lang w:bidi="ar"/>
              </w:rPr>
            </w:pPr>
            <w:r>
              <w:rPr>
                <w:rFonts w:hint="eastAsia" w:asciiTheme="minorEastAsia" w:hAnsiTheme="minorEastAsia" w:eastAsiaTheme="minorEastAsia" w:cstheme="minorEastAsia"/>
                <w:color w:val="000000"/>
                <w:kern w:val="0"/>
                <w:sz w:val="21"/>
                <w:szCs w:val="21"/>
                <w:lang w:bidi="ar"/>
              </w:rPr>
              <w:t>1</w:t>
            </w:r>
          </w:p>
        </w:tc>
      </w:tr>
    </w:tbl>
    <w:p w14:paraId="4D682C48">
      <w:pPr>
        <w:pStyle w:val="142"/>
        <w:spacing w:line="240" w:lineRule="auto"/>
        <w:ind w:firstLine="0" w:firstLineChars="0"/>
        <w:rPr>
          <w:rFonts w:ascii="Times New Roman"/>
        </w:rPr>
      </w:pPr>
      <w:r>
        <w:rPr>
          <w:rFonts w:ascii="Times New Roman"/>
        </w:rPr>
        <w:t xml:space="preserve">  </w:t>
      </w:r>
      <w:r>
        <w:rPr>
          <w:rFonts w:hint="eastAsia" w:ascii="黑体" w:hAnsi="黑体" w:eastAsia="黑体" w:cs="黑体"/>
          <w:sz w:val="18"/>
          <w:szCs w:val="18"/>
        </w:rPr>
        <w:t xml:space="preserve"> 注1：</w:t>
      </w:r>
      <w:r>
        <w:rPr>
          <w:rFonts w:hint="eastAsia" w:hAnsi="宋体" w:cs="宋体"/>
          <w:sz w:val="18"/>
          <w:szCs w:val="18"/>
        </w:rPr>
        <w:t>需在识别出的功能点基础上对实现功能复用情况进行分析，识别出复用的功能及可复用的程度，得出最终未调整软件功能规模US，本示例未考虑复用度情况。</w:t>
      </w:r>
    </w:p>
    <w:p w14:paraId="17D8EDA4">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D.2.2.2 规模调整</w:t>
      </w:r>
    </w:p>
    <w:p w14:paraId="5037E43B">
      <w:pPr>
        <w:pStyle w:val="142"/>
        <w:spacing w:line="240" w:lineRule="auto"/>
        <w:ind w:firstLine="420" w:firstLineChars="0"/>
        <w:rPr>
          <w:rFonts w:ascii="Times New Roman"/>
        </w:rPr>
      </w:pPr>
      <w:r>
        <w:rPr>
          <w:rFonts w:hint="eastAsia" w:ascii="Times New Roman"/>
        </w:rPr>
        <w:t>软件的规模变更因子确认：本项目软件度量阶段属于结算，调整因子取结算阶段</w:t>
      </w:r>
      <w:r>
        <w:rPr>
          <w:rFonts w:ascii="Times New Roman"/>
        </w:rPr>
        <w:t>1.0</w:t>
      </w:r>
      <w:r>
        <w:rPr>
          <w:rFonts w:hint="eastAsia" w:ascii="Times New Roman"/>
        </w:rPr>
        <w:t>。</w:t>
      </w:r>
    </w:p>
    <w:p w14:paraId="59DD8032">
      <w:pPr>
        <w:pStyle w:val="142"/>
        <w:spacing w:line="240" w:lineRule="auto"/>
        <w:ind w:firstLine="420" w:firstLineChars="0"/>
        <w:rPr>
          <w:rFonts w:ascii="Times New Roman"/>
          <w:szCs w:val="21"/>
        </w:rPr>
      </w:pPr>
      <w:r>
        <w:rPr>
          <w:rFonts w:hint="eastAsia" w:ascii="Times New Roman"/>
          <w:szCs w:val="21"/>
        </w:rPr>
        <w:t>AS=US*CF</w:t>
      </w:r>
    </w:p>
    <w:p w14:paraId="797970D7">
      <w:pPr>
        <w:pStyle w:val="142"/>
        <w:spacing w:line="240" w:lineRule="auto"/>
        <w:ind w:firstLine="420" w:firstLineChars="0"/>
        <w:rPr>
          <w:rFonts w:ascii="Times New Roman"/>
          <w:szCs w:val="21"/>
        </w:rPr>
      </w:pPr>
      <w:r>
        <w:rPr>
          <w:rFonts w:hint="eastAsia" w:ascii="Times New Roman"/>
          <w:szCs w:val="21"/>
        </w:rPr>
        <w:t>A</w:t>
      </w:r>
      <w:r>
        <w:rPr>
          <w:rFonts w:ascii="Times New Roman"/>
          <w:szCs w:val="21"/>
        </w:rPr>
        <w:t>S=</w:t>
      </w:r>
      <w:r>
        <w:rPr>
          <w:rFonts w:hint="eastAsia" w:ascii="Times New Roman"/>
          <w:szCs w:val="21"/>
        </w:rPr>
        <w:t>2</w:t>
      </w:r>
      <w:r>
        <w:rPr>
          <w:rFonts w:ascii="Times New Roman"/>
          <w:szCs w:val="21"/>
        </w:rPr>
        <w:t>0 CFP</w:t>
      </w:r>
    </w:p>
    <w:p w14:paraId="759877E1">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D.2.3 软件工作量度量</w:t>
      </w:r>
    </w:p>
    <w:p w14:paraId="4C9B1DD0">
      <w:pPr>
        <w:pStyle w:val="142"/>
        <w:spacing w:line="240" w:lineRule="auto"/>
        <w:ind w:firstLine="420" w:firstLineChars="0"/>
        <w:rPr>
          <w:rFonts w:ascii="Times New Roman"/>
        </w:rPr>
      </w:pPr>
      <w:r>
        <w:rPr>
          <w:rFonts w:hint="eastAsia" w:ascii="Times New Roman"/>
        </w:rPr>
        <w:t>本项目各调整因子取值确认如下：</w:t>
      </w:r>
    </w:p>
    <w:p w14:paraId="369B50EA">
      <w:pPr>
        <w:pStyle w:val="142"/>
        <w:numPr>
          <w:ilvl w:val="0"/>
          <w:numId w:val="30"/>
        </w:numPr>
        <w:tabs>
          <w:tab w:val="left" w:pos="420"/>
        </w:tabs>
        <w:adjustRightInd w:val="0"/>
        <w:snapToGrid w:val="0"/>
        <w:spacing w:line="240" w:lineRule="auto"/>
        <w:ind w:firstLine="420"/>
        <w:rPr>
          <w:rFonts w:ascii="Times New Roman"/>
          <w:szCs w:val="21"/>
        </w:rPr>
      </w:pPr>
      <w:r>
        <w:rPr>
          <w:rFonts w:hint="eastAsia" w:ascii="Times New Roman"/>
          <w:szCs w:val="21"/>
        </w:rPr>
        <w:t>软件规模SF；本示例软件应用领域为通信领域，软件规模SF取该单位历史数据推导出的系数SF=0.2309*LN(AS)+0.3718；</w:t>
      </w:r>
    </w:p>
    <w:p w14:paraId="1D4A6941">
      <w:pPr>
        <w:pStyle w:val="142"/>
        <w:numPr>
          <w:ilvl w:val="0"/>
          <w:numId w:val="30"/>
        </w:numPr>
        <w:spacing w:line="240" w:lineRule="auto"/>
        <w:ind w:firstLine="420"/>
        <w:rPr>
          <w:rFonts w:ascii="Times New Roman"/>
          <w:szCs w:val="21"/>
        </w:rPr>
      </w:pPr>
      <w:r>
        <w:rPr>
          <w:rFonts w:hint="eastAsia" w:ascii="Times New Roman"/>
          <w:szCs w:val="21"/>
        </w:rPr>
        <w:t>应用领域：业务处理</w:t>
      </w:r>
      <w:r>
        <w:rPr>
          <w:rFonts w:ascii="Times New Roman"/>
          <w:szCs w:val="21"/>
        </w:rPr>
        <w:t>1.0</w:t>
      </w:r>
      <w:r>
        <w:rPr>
          <w:rFonts w:hint="eastAsia" w:ascii="Times New Roman"/>
          <w:szCs w:val="21"/>
        </w:rPr>
        <w:t>；</w:t>
      </w:r>
    </w:p>
    <w:p w14:paraId="2B9D367B">
      <w:pPr>
        <w:pStyle w:val="142"/>
        <w:numPr>
          <w:ilvl w:val="0"/>
          <w:numId w:val="30"/>
        </w:numPr>
        <w:spacing w:line="240" w:lineRule="auto"/>
        <w:ind w:firstLine="420"/>
        <w:rPr>
          <w:rFonts w:ascii="Times New Roman"/>
          <w:szCs w:val="21"/>
        </w:rPr>
      </w:pPr>
      <w:r>
        <w:rPr>
          <w:rFonts w:hint="eastAsia" w:ascii="Times New Roman"/>
          <w:szCs w:val="21"/>
        </w:rPr>
        <w:t>软件的完整性级别因子：D 级，取值</w:t>
      </w:r>
      <w:r>
        <w:rPr>
          <w:rFonts w:ascii="Times New Roman"/>
          <w:szCs w:val="21"/>
        </w:rPr>
        <w:t>1.0</w:t>
      </w:r>
      <w:r>
        <w:rPr>
          <w:rFonts w:hint="eastAsia" w:ascii="Times New Roman"/>
          <w:szCs w:val="21"/>
        </w:rPr>
        <w:t>；</w:t>
      </w:r>
    </w:p>
    <w:p w14:paraId="27A36E8E">
      <w:pPr>
        <w:pStyle w:val="142"/>
        <w:numPr>
          <w:ilvl w:val="0"/>
          <w:numId w:val="30"/>
        </w:numPr>
        <w:spacing w:line="240" w:lineRule="auto"/>
        <w:ind w:firstLine="420"/>
        <w:rPr>
          <w:rFonts w:ascii="Times New Roman"/>
          <w:szCs w:val="21"/>
        </w:rPr>
      </w:pPr>
      <w:r>
        <w:rPr>
          <w:rFonts w:hint="eastAsia" w:ascii="Times New Roman"/>
          <w:szCs w:val="21"/>
        </w:rPr>
        <w:t>质量要求：考虑分布式、性能效率、可靠性、多重站点均取</w:t>
      </w:r>
      <w:r>
        <w:rPr>
          <w:rFonts w:ascii="Times New Roman"/>
          <w:szCs w:val="21"/>
        </w:rPr>
        <w:t>-1</w:t>
      </w:r>
      <w:r>
        <w:rPr>
          <w:rFonts w:hint="eastAsia" w:ascii="Times New Roman"/>
          <w:szCs w:val="21"/>
        </w:rPr>
        <w:t>；（</w:t>
      </w:r>
      <w:r>
        <w:rPr>
          <w:rFonts w:ascii="Times New Roman"/>
          <w:szCs w:val="21"/>
        </w:rPr>
        <w:t>-1-1-1-1</w:t>
      </w:r>
      <w:r>
        <w:rPr>
          <w:rFonts w:hint="eastAsia" w:ascii="Times New Roman"/>
          <w:szCs w:val="21"/>
        </w:rPr>
        <w:t>）</w:t>
      </w:r>
      <w:r>
        <w:rPr>
          <w:rFonts w:ascii="Times New Roman"/>
          <w:szCs w:val="21"/>
        </w:rPr>
        <w:t>*0.025+1</w:t>
      </w:r>
      <w:r>
        <w:rPr>
          <w:rFonts w:hint="eastAsia" w:ascii="Times New Roman"/>
          <w:szCs w:val="21"/>
        </w:rPr>
        <w:t>；</w:t>
      </w:r>
    </w:p>
    <w:p w14:paraId="372D6262">
      <w:pPr>
        <w:pStyle w:val="142"/>
        <w:numPr>
          <w:ilvl w:val="0"/>
          <w:numId w:val="30"/>
        </w:numPr>
        <w:spacing w:line="240" w:lineRule="auto"/>
        <w:ind w:firstLine="420"/>
        <w:rPr>
          <w:rFonts w:ascii="Times New Roman"/>
          <w:szCs w:val="21"/>
        </w:rPr>
      </w:pPr>
      <w:r>
        <w:rPr>
          <w:rFonts w:hint="eastAsia" w:ascii="Times New Roman"/>
          <w:szCs w:val="21"/>
        </w:rPr>
        <w:t>开发语言；</w:t>
      </w:r>
      <w:r>
        <w:rPr>
          <w:rFonts w:ascii="Times New Roman"/>
          <w:szCs w:val="21"/>
        </w:rPr>
        <w:t>JAVA</w:t>
      </w:r>
      <w:r>
        <w:rPr>
          <w:rFonts w:hint="eastAsia" w:ascii="Times New Roman"/>
          <w:szCs w:val="21"/>
        </w:rPr>
        <w:t>，取</w:t>
      </w:r>
      <w:r>
        <w:rPr>
          <w:rFonts w:ascii="Times New Roman"/>
          <w:szCs w:val="21"/>
        </w:rPr>
        <w:t>1</w:t>
      </w:r>
      <w:r>
        <w:rPr>
          <w:rFonts w:hint="eastAsia" w:ascii="Times New Roman"/>
          <w:szCs w:val="21"/>
        </w:rPr>
        <w:t>；</w:t>
      </w:r>
    </w:p>
    <w:p w14:paraId="6DBE0524">
      <w:pPr>
        <w:pStyle w:val="142"/>
        <w:numPr>
          <w:ilvl w:val="0"/>
          <w:numId w:val="30"/>
        </w:numPr>
        <w:spacing w:line="240" w:lineRule="auto"/>
        <w:ind w:firstLine="420"/>
        <w:rPr>
          <w:rFonts w:ascii="Times New Roman"/>
          <w:szCs w:val="21"/>
        </w:rPr>
      </w:pPr>
      <w:r>
        <w:rPr>
          <w:rFonts w:hint="eastAsia" w:ascii="Times New Roman"/>
          <w:szCs w:val="21"/>
        </w:rPr>
        <w:t>开发团队：为本行业开发过类似项目，取</w:t>
      </w:r>
      <w:r>
        <w:rPr>
          <w:rFonts w:ascii="Times New Roman"/>
          <w:szCs w:val="21"/>
        </w:rPr>
        <w:t>0.8</w:t>
      </w:r>
      <w:r>
        <w:rPr>
          <w:rFonts w:hint="eastAsia" w:ascii="Times New Roman"/>
          <w:szCs w:val="21"/>
        </w:rPr>
        <w:t>；</w:t>
      </w:r>
    </w:p>
    <w:p w14:paraId="75676EA5">
      <w:pPr>
        <w:pStyle w:val="142"/>
        <w:numPr>
          <w:ilvl w:val="0"/>
          <w:numId w:val="30"/>
        </w:numPr>
        <w:spacing w:line="240" w:lineRule="auto"/>
        <w:ind w:firstLine="420"/>
        <w:rPr>
          <w:rFonts w:ascii="Times New Roman"/>
        </w:rPr>
      </w:pPr>
      <w:r>
        <w:rPr>
          <w:rFonts w:hint="eastAsia" w:ascii="Times New Roman"/>
          <w:szCs w:val="21"/>
        </w:rPr>
        <w:t>生产率：取该单位历史数据推导出的生产率，</w:t>
      </w:r>
      <w:r>
        <w:rPr>
          <w:rFonts w:ascii="Times New Roman"/>
          <w:szCs w:val="21"/>
        </w:rPr>
        <w:t>1.4183</w:t>
      </w:r>
      <w:r>
        <w:rPr>
          <w:rFonts w:hint="eastAsia" w:ascii="Times New Roman"/>
          <w:szCs w:val="21"/>
        </w:rPr>
        <w:t>。</w:t>
      </w:r>
    </w:p>
    <w:p w14:paraId="5EDF5225">
      <w:pPr>
        <w:pStyle w:val="142"/>
        <w:spacing w:line="240" w:lineRule="auto"/>
        <w:ind w:firstLine="420"/>
        <w:rPr>
          <w:rFonts w:ascii="Times New Roman"/>
        </w:rPr>
      </w:pPr>
      <w:r>
        <w:rPr>
          <w:rFonts w:ascii="Times New Roman"/>
        </w:rPr>
        <w:t>软件工作量AE=调整后</w:t>
      </w:r>
      <w:r>
        <w:rPr>
          <w:rFonts w:hint="eastAsia" w:ascii="Times New Roman"/>
        </w:rPr>
        <w:t>功能</w:t>
      </w:r>
      <w:r>
        <w:rPr>
          <w:rFonts w:ascii="Times New Roman"/>
        </w:rPr>
        <w:t>规模</w:t>
      </w:r>
      <w:r>
        <w:rPr>
          <w:rFonts w:hint="eastAsia" w:ascii="Times New Roman"/>
        </w:rPr>
        <w:t>A</w:t>
      </w:r>
      <w:r>
        <w:rPr>
          <w:rFonts w:ascii="Times New Roman"/>
        </w:rPr>
        <w:t>S*生产率C</w:t>
      </w:r>
      <w:r>
        <w:rPr>
          <w:rFonts w:hint="eastAsia" w:ascii="Times New Roman"/>
        </w:rPr>
        <w:t>P</w:t>
      </w:r>
      <w:r>
        <w:rPr>
          <w:rFonts w:ascii="Times New Roman"/>
        </w:rPr>
        <w:t>*</w:t>
      </w:r>
      <w:r>
        <w:rPr>
          <w:rFonts w:hint="eastAsia" w:ascii="Times New Roman"/>
        </w:rPr>
        <w:t>软件规模</w:t>
      </w:r>
      <w:r>
        <w:rPr>
          <w:rFonts w:ascii="Times New Roman"/>
        </w:rPr>
        <w:t>SF*应用领域A</w:t>
      </w:r>
      <w:r>
        <w:rPr>
          <w:rFonts w:hint="eastAsia" w:ascii="Times New Roman"/>
        </w:rPr>
        <w:t>R</w:t>
      </w:r>
      <w:r>
        <w:rPr>
          <w:rFonts w:ascii="Times New Roman"/>
        </w:rPr>
        <w:t>*质量要求QR*开发语言</w:t>
      </w:r>
      <w:r>
        <w:rPr>
          <w:rFonts w:hint="eastAsia" w:ascii="Times New Roman"/>
        </w:rPr>
        <w:t>D</w:t>
      </w:r>
      <w:r>
        <w:rPr>
          <w:rFonts w:ascii="Times New Roman"/>
        </w:rPr>
        <w:t>L*开发团队</w:t>
      </w:r>
      <w:r>
        <w:rPr>
          <w:rFonts w:hint="eastAsia" w:ascii="Times New Roman"/>
        </w:rPr>
        <w:t>D</w:t>
      </w:r>
      <w:r>
        <w:rPr>
          <w:rFonts w:ascii="Times New Roman"/>
        </w:rPr>
        <w:t>T</w:t>
      </w:r>
      <w:r>
        <w:rPr>
          <w:rFonts w:hint="eastAsia" w:ascii="Times New Roman"/>
        </w:rPr>
        <w:t>*</w:t>
      </w:r>
      <w:r>
        <w:rPr>
          <w:rFonts w:ascii="Times New Roman"/>
          <w:szCs w:val="21"/>
        </w:rPr>
        <w:t>软件完整性级</w:t>
      </w:r>
      <w:r>
        <w:rPr>
          <w:rFonts w:hint="eastAsia" w:ascii="Times New Roman"/>
        </w:rPr>
        <w:t>别</w:t>
      </w:r>
      <w:r>
        <w:rPr>
          <w:rFonts w:hint="eastAsia" w:ascii="Times New Roman"/>
          <w:szCs w:val="21"/>
        </w:rPr>
        <w:t>SIL</w:t>
      </w:r>
      <w:r>
        <w:rPr>
          <w:rFonts w:ascii="Times New Roman"/>
        </w:rPr>
        <w:t>。</w:t>
      </w:r>
    </w:p>
    <w:p w14:paraId="510FE49E">
      <w:pPr>
        <w:pStyle w:val="142"/>
        <w:spacing w:line="240" w:lineRule="auto"/>
        <w:ind w:left="420" w:leftChars="200" w:firstLine="0" w:firstLineChars="0"/>
        <w:rPr>
          <w:rFonts w:ascii="Times New Roman"/>
        </w:rPr>
      </w:pPr>
      <w:r>
        <w:rPr>
          <w:rFonts w:hint="eastAsia" w:ascii="Times New Roman"/>
        </w:rPr>
        <w:t>评估结果表见D</w:t>
      </w:r>
      <w:r>
        <w:rPr>
          <w:rFonts w:ascii="Times New Roman"/>
        </w:rPr>
        <w:t xml:space="preserve">.3 </w:t>
      </w:r>
      <w:r>
        <w:rPr>
          <w:rFonts w:hint="eastAsia" w:ascii="Times New Roman"/>
        </w:rPr>
        <w:t>结果计算表</w:t>
      </w:r>
    </w:p>
    <w:p w14:paraId="473AACEE">
      <w:pPr>
        <w:pStyle w:val="142"/>
        <w:spacing w:before="156" w:beforeLines="50" w:after="156" w:afterLines="50" w:line="240" w:lineRule="auto"/>
        <w:ind w:firstLine="0" w:firstLineChars="0"/>
        <w:jc w:val="center"/>
        <w:rPr>
          <w:rFonts w:ascii="黑体" w:hAnsi="黑体" w:eastAsia="黑体" w:cs="黑体"/>
        </w:rPr>
      </w:pPr>
      <w:r>
        <w:rPr>
          <w:rFonts w:hint="eastAsia" w:ascii="黑体" w:hAnsi="黑体" w:eastAsia="黑体" w:cs="黑体"/>
        </w:rPr>
        <w:t>表D.3 工作量结果计算表</w:t>
      </w:r>
    </w:p>
    <w:tbl>
      <w:tblPr>
        <w:tblStyle w:val="33"/>
        <w:tblW w:w="5000" w:type="pct"/>
        <w:jc w:val="center"/>
        <w:tblLayout w:type="autofit"/>
        <w:tblCellMar>
          <w:top w:w="0" w:type="dxa"/>
          <w:left w:w="108" w:type="dxa"/>
          <w:bottom w:w="0" w:type="dxa"/>
          <w:right w:w="108" w:type="dxa"/>
        </w:tblCellMar>
      </w:tblPr>
      <w:tblGrid>
        <w:gridCol w:w="2304"/>
        <w:gridCol w:w="4136"/>
        <w:gridCol w:w="3130"/>
      </w:tblGrid>
      <w:tr w14:paraId="7D3A5B88">
        <w:tblPrEx>
          <w:tblCellMar>
            <w:top w:w="0" w:type="dxa"/>
            <w:left w:w="108" w:type="dxa"/>
            <w:bottom w:w="0" w:type="dxa"/>
            <w:right w:w="108" w:type="dxa"/>
          </w:tblCellMar>
        </w:tblPrEx>
        <w:trPr>
          <w:trHeight w:val="340" w:hRule="atLeast"/>
          <w:tblHeader/>
          <w:jc w:val="center"/>
        </w:trPr>
        <w:tc>
          <w:tcPr>
            <w:tcW w:w="5000"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6206C">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工作量结果计算表</w:t>
            </w:r>
          </w:p>
        </w:tc>
      </w:tr>
      <w:tr w14:paraId="07FCB1FA">
        <w:tblPrEx>
          <w:tblCellMar>
            <w:top w:w="0" w:type="dxa"/>
            <w:left w:w="108" w:type="dxa"/>
            <w:bottom w:w="0" w:type="dxa"/>
            <w:right w:w="108" w:type="dxa"/>
          </w:tblCellMar>
        </w:tblPrEx>
        <w:trPr>
          <w:trHeight w:val="340" w:hRule="atLeast"/>
          <w:tblHeader/>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20787">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单项</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EB6BB">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数值</w:t>
            </w:r>
          </w:p>
        </w:tc>
      </w:tr>
      <w:tr w14:paraId="130B969E">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3C0E37">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功能规模（功能点）</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599C2">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20.00 </w:t>
            </w:r>
          </w:p>
        </w:tc>
      </w:tr>
      <w:tr w14:paraId="4BD63D7B">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CA6757">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规模变更因子CF</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79A45">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1.00 </w:t>
            </w:r>
          </w:p>
        </w:tc>
      </w:tr>
      <w:tr w14:paraId="672ED686">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1097B6">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调整后的规模(功能点)</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3E620">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20.00 </w:t>
            </w:r>
          </w:p>
        </w:tc>
      </w:tr>
      <w:tr w14:paraId="58080379">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8E000">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生产率（人天/功能点）</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3DF8D">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1.4183 </w:t>
            </w:r>
          </w:p>
        </w:tc>
      </w:tr>
      <w:tr w14:paraId="4A9C9139">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26461">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工作量（人天）</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8AFCC">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28.37 </w:t>
            </w:r>
          </w:p>
        </w:tc>
      </w:tr>
      <w:tr w14:paraId="2F6C9B4F">
        <w:tblPrEx>
          <w:tblCellMar>
            <w:top w:w="0" w:type="dxa"/>
            <w:left w:w="108" w:type="dxa"/>
            <w:bottom w:w="0" w:type="dxa"/>
            <w:right w:w="108" w:type="dxa"/>
          </w:tblCellMar>
        </w:tblPrEx>
        <w:trPr>
          <w:trHeight w:val="340" w:hRule="atLeast"/>
          <w:jc w:val="center"/>
        </w:trPr>
        <w:tc>
          <w:tcPr>
            <w:tcW w:w="120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8433E8">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软件因素调整</w:t>
            </w:r>
          </w:p>
        </w:tc>
        <w:tc>
          <w:tcPr>
            <w:tcW w:w="21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46DA8">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软件因素调整</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17D92">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0.9572</w:t>
            </w:r>
          </w:p>
        </w:tc>
      </w:tr>
      <w:tr w14:paraId="726A7B94">
        <w:tblPrEx>
          <w:tblCellMar>
            <w:top w:w="0" w:type="dxa"/>
            <w:left w:w="108" w:type="dxa"/>
            <w:bottom w:w="0" w:type="dxa"/>
            <w:right w:w="108" w:type="dxa"/>
          </w:tblCellMar>
        </w:tblPrEx>
        <w:trPr>
          <w:trHeight w:val="340" w:hRule="atLeast"/>
          <w:jc w:val="center"/>
        </w:trPr>
        <w:tc>
          <w:tcPr>
            <w:tcW w:w="120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328A16">
            <w:pPr>
              <w:spacing w:line="240" w:lineRule="auto"/>
              <w:jc w:val="center"/>
              <w:rPr>
                <w:rFonts w:hint="eastAsia" w:asciiTheme="minorEastAsia" w:hAnsiTheme="minorEastAsia" w:eastAsiaTheme="minorEastAsia" w:cstheme="minorEastAsia"/>
                <w:sz w:val="21"/>
                <w:szCs w:val="21"/>
              </w:rPr>
            </w:pPr>
          </w:p>
        </w:tc>
        <w:tc>
          <w:tcPr>
            <w:tcW w:w="21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DC757">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软件规模SF</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69D1F">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1.0635 </w:t>
            </w:r>
          </w:p>
        </w:tc>
      </w:tr>
      <w:tr w14:paraId="7ACE6B39">
        <w:tblPrEx>
          <w:tblCellMar>
            <w:top w:w="0" w:type="dxa"/>
            <w:left w:w="108" w:type="dxa"/>
            <w:bottom w:w="0" w:type="dxa"/>
            <w:right w:w="108" w:type="dxa"/>
          </w:tblCellMar>
        </w:tblPrEx>
        <w:trPr>
          <w:trHeight w:val="340" w:hRule="atLeast"/>
          <w:jc w:val="center"/>
        </w:trPr>
        <w:tc>
          <w:tcPr>
            <w:tcW w:w="120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C8A9C">
            <w:pPr>
              <w:spacing w:line="240" w:lineRule="auto"/>
              <w:jc w:val="center"/>
              <w:rPr>
                <w:rFonts w:hint="eastAsia" w:asciiTheme="minorEastAsia" w:hAnsiTheme="minorEastAsia" w:eastAsiaTheme="minorEastAsia" w:cstheme="minorEastAsia"/>
                <w:sz w:val="21"/>
                <w:szCs w:val="21"/>
              </w:rPr>
            </w:pPr>
          </w:p>
        </w:tc>
        <w:tc>
          <w:tcPr>
            <w:tcW w:w="21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694C9">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应用类型AT</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8F0F2">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1.0 </w:t>
            </w:r>
          </w:p>
        </w:tc>
      </w:tr>
      <w:tr w14:paraId="207204B6">
        <w:tblPrEx>
          <w:tblCellMar>
            <w:top w:w="0" w:type="dxa"/>
            <w:left w:w="108" w:type="dxa"/>
            <w:bottom w:w="0" w:type="dxa"/>
            <w:right w:w="108" w:type="dxa"/>
          </w:tblCellMar>
        </w:tblPrEx>
        <w:trPr>
          <w:trHeight w:val="340" w:hRule="atLeast"/>
          <w:jc w:val="center"/>
        </w:trPr>
        <w:tc>
          <w:tcPr>
            <w:tcW w:w="120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2C51EF">
            <w:pPr>
              <w:spacing w:line="240" w:lineRule="auto"/>
              <w:jc w:val="center"/>
              <w:rPr>
                <w:rFonts w:hint="eastAsia" w:asciiTheme="minorEastAsia" w:hAnsiTheme="minorEastAsia" w:eastAsiaTheme="minorEastAsia" w:cstheme="minorEastAsia"/>
                <w:sz w:val="21"/>
                <w:szCs w:val="21"/>
              </w:rPr>
            </w:pPr>
          </w:p>
        </w:tc>
        <w:tc>
          <w:tcPr>
            <w:tcW w:w="21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092BC">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质量及特性QR</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60376">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0.900 </w:t>
            </w:r>
          </w:p>
        </w:tc>
      </w:tr>
      <w:tr w14:paraId="1BA2002E">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4E20B6">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完整性级别调整因子</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258D6">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1.00 </w:t>
            </w:r>
          </w:p>
        </w:tc>
      </w:tr>
      <w:tr w14:paraId="5FCD7DC6">
        <w:tblPrEx>
          <w:tblCellMar>
            <w:top w:w="0" w:type="dxa"/>
            <w:left w:w="108" w:type="dxa"/>
            <w:bottom w:w="0" w:type="dxa"/>
            <w:right w:w="108" w:type="dxa"/>
          </w:tblCellMar>
        </w:tblPrEx>
        <w:trPr>
          <w:trHeight w:val="340" w:hRule="atLeast"/>
          <w:jc w:val="center"/>
        </w:trPr>
        <w:tc>
          <w:tcPr>
            <w:tcW w:w="120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4DA0D3">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开发因素</w:t>
            </w:r>
          </w:p>
        </w:tc>
        <w:tc>
          <w:tcPr>
            <w:tcW w:w="2160" w:type="pct"/>
            <w:tcBorders>
              <w:top w:val="single" w:color="000000" w:sz="4" w:space="0"/>
              <w:left w:val="single" w:color="000000" w:sz="4" w:space="0"/>
              <w:bottom w:val="single" w:color="000000" w:sz="4" w:space="0"/>
              <w:right w:val="nil"/>
            </w:tcBorders>
            <w:shd w:val="clear" w:color="auto" w:fill="auto"/>
            <w:vAlign w:val="center"/>
          </w:tcPr>
          <w:p w14:paraId="4032078E">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开发语言</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493E1">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1.00 </w:t>
            </w:r>
          </w:p>
        </w:tc>
      </w:tr>
      <w:tr w14:paraId="68F66BE3">
        <w:tblPrEx>
          <w:tblCellMar>
            <w:top w:w="0" w:type="dxa"/>
            <w:left w:w="108" w:type="dxa"/>
            <w:bottom w:w="0" w:type="dxa"/>
            <w:right w:w="108" w:type="dxa"/>
          </w:tblCellMar>
        </w:tblPrEx>
        <w:trPr>
          <w:trHeight w:val="340" w:hRule="atLeast"/>
          <w:jc w:val="center"/>
        </w:trPr>
        <w:tc>
          <w:tcPr>
            <w:tcW w:w="120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DCD39F">
            <w:pPr>
              <w:spacing w:line="240" w:lineRule="auto"/>
              <w:jc w:val="center"/>
              <w:rPr>
                <w:rFonts w:hint="eastAsia" w:asciiTheme="minorEastAsia" w:hAnsiTheme="minorEastAsia" w:eastAsiaTheme="minorEastAsia" w:cstheme="minorEastAsia"/>
                <w:sz w:val="21"/>
                <w:szCs w:val="21"/>
              </w:rPr>
            </w:pPr>
          </w:p>
        </w:tc>
        <w:tc>
          <w:tcPr>
            <w:tcW w:w="2160" w:type="pct"/>
            <w:tcBorders>
              <w:top w:val="single" w:color="000000" w:sz="4" w:space="0"/>
              <w:left w:val="single" w:color="000000" w:sz="4" w:space="0"/>
              <w:bottom w:val="single" w:color="000000" w:sz="4" w:space="0"/>
              <w:right w:val="nil"/>
            </w:tcBorders>
            <w:shd w:val="clear" w:color="auto" w:fill="auto"/>
            <w:vAlign w:val="center"/>
          </w:tcPr>
          <w:p w14:paraId="2609CD7B">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开发团队背景</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30B77">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0.80 </w:t>
            </w:r>
          </w:p>
        </w:tc>
      </w:tr>
      <w:tr w14:paraId="372A81FD">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794C9F">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调整后工作量（单位：人天）</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AC307">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 xml:space="preserve">30.63 </w:t>
            </w:r>
          </w:p>
        </w:tc>
      </w:tr>
      <w:tr w14:paraId="5968EE3F">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C2747C">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取值范围</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30CB5">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5%</w:t>
            </w:r>
          </w:p>
        </w:tc>
      </w:tr>
      <w:tr w14:paraId="2715C982">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025BF8">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上限</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B2EEF">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32.1615</w:t>
            </w:r>
          </w:p>
        </w:tc>
      </w:tr>
      <w:tr w14:paraId="1483A05A">
        <w:tblPrEx>
          <w:tblCellMar>
            <w:top w:w="0" w:type="dxa"/>
            <w:left w:w="108" w:type="dxa"/>
            <w:bottom w:w="0" w:type="dxa"/>
            <w:right w:w="108" w:type="dxa"/>
          </w:tblCellMar>
        </w:tblPrEx>
        <w:trPr>
          <w:trHeight w:val="340" w:hRule="atLeast"/>
          <w:jc w:val="center"/>
        </w:trPr>
        <w:tc>
          <w:tcPr>
            <w:tcW w:w="336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2438E3">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下限</w:t>
            </w:r>
          </w:p>
        </w:tc>
        <w:tc>
          <w:tcPr>
            <w:tcW w:w="1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AC35A">
            <w:pPr>
              <w:widowControl/>
              <w:spacing w:line="240" w:lineRule="auto"/>
              <w:jc w:val="center"/>
              <w:textAlignment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bidi="ar"/>
              </w:rPr>
              <w:t>29.0985</w:t>
            </w:r>
          </w:p>
        </w:tc>
      </w:tr>
    </w:tbl>
    <w:p w14:paraId="6315F6A7">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D.2.4 软件成本度量</w:t>
      </w:r>
    </w:p>
    <w:p w14:paraId="61C5A316">
      <w:pPr>
        <w:pStyle w:val="142"/>
        <w:spacing w:line="240" w:lineRule="auto"/>
        <w:ind w:firstLine="421" w:firstLineChars="0"/>
        <w:rPr>
          <w:rFonts w:ascii="黑体" w:hAnsi="黑体" w:eastAsia="黑体" w:cs="黑体"/>
        </w:rPr>
      </w:pPr>
      <w:r>
        <w:rPr>
          <w:rFonts w:hint="eastAsia" w:ascii="Times New Roman"/>
        </w:rPr>
        <w:t>本项目综合人天单价确认为软件合同单价</w:t>
      </w:r>
      <w:r>
        <w:rPr>
          <w:rFonts w:ascii="Times New Roman"/>
        </w:rPr>
        <w:t>1000</w:t>
      </w:r>
      <w:r>
        <w:rPr>
          <w:rFonts w:hint="eastAsia" w:ascii="Times New Roman"/>
        </w:rPr>
        <w:t>元</w:t>
      </w:r>
      <w:r>
        <w:rPr>
          <w:rFonts w:ascii="Times New Roman"/>
        </w:rPr>
        <w:t>/</w:t>
      </w:r>
      <w:r>
        <w:rPr>
          <w:rFonts w:hint="eastAsia" w:ascii="Times New Roman"/>
        </w:rPr>
        <w:t>人天。</w:t>
      </w:r>
    </w:p>
    <w:p w14:paraId="74CF6B89">
      <w:pPr>
        <w:pStyle w:val="142"/>
        <w:spacing w:before="156" w:beforeLines="50" w:after="156" w:afterLines="50" w:line="240" w:lineRule="auto"/>
        <w:ind w:firstLine="0" w:firstLineChars="0"/>
        <w:jc w:val="center"/>
        <w:rPr>
          <w:rFonts w:ascii="黑体" w:hAnsi="黑体" w:eastAsia="黑体" w:cs="黑体"/>
        </w:rPr>
      </w:pPr>
      <w:r>
        <w:rPr>
          <w:rFonts w:hint="eastAsia" w:ascii="黑体" w:hAnsi="黑体" w:eastAsia="黑体" w:cs="黑体"/>
        </w:rPr>
        <w:t>表D.4 软件成本度量结果</w:t>
      </w:r>
    </w:p>
    <w:tbl>
      <w:tblPr>
        <w:tblStyle w:val="34"/>
        <w:tblW w:w="483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49"/>
        <w:gridCol w:w="2411"/>
      </w:tblGrid>
      <w:tr w14:paraId="09795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2"/>
            <w:vAlign w:val="center"/>
          </w:tcPr>
          <w:p w14:paraId="70F8B9FB">
            <w:pPr>
              <w:spacing w:line="240" w:lineRule="auto"/>
              <w:jc w:val="center"/>
              <w:rPr>
                <w:rFonts w:ascii="宋体" w:hAnsi="宋体" w:cs="宋体"/>
                <w:sz w:val="21"/>
                <w:szCs w:val="21"/>
              </w:rPr>
            </w:pPr>
            <w:r>
              <w:rPr>
                <w:rFonts w:hint="eastAsia" w:ascii="宋体" w:hAnsi="宋体" w:cs="宋体"/>
                <w:sz w:val="21"/>
                <w:szCs w:val="21"/>
              </w:rPr>
              <w:t>软件成本度量结果</w:t>
            </w:r>
          </w:p>
        </w:tc>
      </w:tr>
      <w:tr w14:paraId="3E2B3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98" w:type="pct"/>
            <w:vAlign w:val="center"/>
          </w:tcPr>
          <w:p w14:paraId="1A90EF62">
            <w:pPr>
              <w:spacing w:line="240" w:lineRule="auto"/>
              <w:jc w:val="center"/>
              <w:rPr>
                <w:rFonts w:ascii="宋体" w:hAnsi="宋体" w:cs="宋体"/>
                <w:sz w:val="21"/>
                <w:szCs w:val="21"/>
              </w:rPr>
            </w:pPr>
            <w:r>
              <w:rPr>
                <w:rFonts w:hint="eastAsia" w:ascii="宋体" w:hAnsi="宋体" w:cs="宋体"/>
                <w:sz w:val="21"/>
                <w:szCs w:val="21"/>
              </w:rPr>
              <w:t>成本基准值</w:t>
            </w:r>
          </w:p>
        </w:tc>
        <w:tc>
          <w:tcPr>
            <w:tcW w:w="1301" w:type="pct"/>
            <w:vAlign w:val="center"/>
          </w:tcPr>
          <w:p w14:paraId="3DE7E974">
            <w:pPr>
              <w:spacing w:line="240" w:lineRule="auto"/>
              <w:jc w:val="center"/>
              <w:rPr>
                <w:rFonts w:ascii="宋体" w:hAnsi="宋体" w:cs="宋体"/>
                <w:sz w:val="21"/>
                <w:szCs w:val="21"/>
              </w:rPr>
            </w:pPr>
            <w:r>
              <w:rPr>
                <w:rFonts w:hint="eastAsia" w:ascii="宋体" w:hAnsi="宋体" w:cs="宋体"/>
                <w:sz w:val="21"/>
                <w:szCs w:val="21"/>
              </w:rPr>
              <w:t>3.0630</w:t>
            </w:r>
          </w:p>
        </w:tc>
      </w:tr>
      <w:tr w14:paraId="2F9AB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98" w:type="pct"/>
            <w:vAlign w:val="center"/>
          </w:tcPr>
          <w:p w14:paraId="693D77EA">
            <w:pPr>
              <w:spacing w:line="240" w:lineRule="auto"/>
              <w:jc w:val="center"/>
              <w:rPr>
                <w:rFonts w:ascii="宋体" w:hAnsi="宋体" w:cs="宋体"/>
                <w:sz w:val="21"/>
                <w:szCs w:val="21"/>
              </w:rPr>
            </w:pPr>
            <w:r>
              <w:rPr>
                <w:rFonts w:hint="eastAsia" w:ascii="宋体" w:hAnsi="宋体" w:cs="宋体"/>
                <w:sz w:val="21"/>
                <w:szCs w:val="21"/>
              </w:rPr>
              <w:t>取值范围</w:t>
            </w:r>
          </w:p>
        </w:tc>
        <w:tc>
          <w:tcPr>
            <w:tcW w:w="1301" w:type="pct"/>
            <w:vAlign w:val="center"/>
          </w:tcPr>
          <w:p w14:paraId="5E7E065E">
            <w:pPr>
              <w:spacing w:line="240" w:lineRule="auto"/>
              <w:jc w:val="center"/>
              <w:rPr>
                <w:rFonts w:ascii="宋体" w:hAnsi="宋体" w:cs="宋体"/>
                <w:sz w:val="21"/>
                <w:szCs w:val="21"/>
              </w:rPr>
            </w:pPr>
            <w:r>
              <w:rPr>
                <w:rFonts w:hint="eastAsia" w:ascii="宋体" w:hAnsi="宋体" w:cs="宋体"/>
                <w:sz w:val="21"/>
                <w:szCs w:val="21"/>
              </w:rPr>
              <w:t>5%</w:t>
            </w:r>
          </w:p>
        </w:tc>
      </w:tr>
      <w:tr w14:paraId="4E90B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98" w:type="pct"/>
            <w:vAlign w:val="center"/>
          </w:tcPr>
          <w:p w14:paraId="03BEBC42">
            <w:pPr>
              <w:spacing w:line="240" w:lineRule="auto"/>
              <w:jc w:val="center"/>
              <w:rPr>
                <w:rFonts w:ascii="宋体" w:hAnsi="宋体" w:cs="宋体"/>
                <w:sz w:val="21"/>
                <w:szCs w:val="21"/>
              </w:rPr>
            </w:pPr>
            <w:r>
              <w:rPr>
                <w:rFonts w:hint="eastAsia" w:ascii="宋体" w:hAnsi="宋体" w:cs="宋体"/>
                <w:sz w:val="21"/>
                <w:szCs w:val="21"/>
              </w:rPr>
              <w:t>成本上限</w:t>
            </w:r>
          </w:p>
        </w:tc>
        <w:tc>
          <w:tcPr>
            <w:tcW w:w="1301" w:type="pct"/>
            <w:vAlign w:val="center"/>
          </w:tcPr>
          <w:p w14:paraId="1C633E9F">
            <w:pPr>
              <w:spacing w:line="240" w:lineRule="auto"/>
              <w:jc w:val="center"/>
              <w:rPr>
                <w:rFonts w:ascii="宋体" w:hAnsi="宋体" w:cs="宋体"/>
                <w:sz w:val="21"/>
                <w:szCs w:val="21"/>
              </w:rPr>
            </w:pPr>
            <w:r>
              <w:rPr>
                <w:rFonts w:hint="eastAsia" w:ascii="宋体" w:hAnsi="宋体" w:cs="宋体"/>
                <w:sz w:val="21"/>
                <w:szCs w:val="21"/>
              </w:rPr>
              <w:t>3.2162</w:t>
            </w:r>
          </w:p>
        </w:tc>
      </w:tr>
      <w:tr w14:paraId="5DA78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98" w:type="pct"/>
            <w:vAlign w:val="center"/>
          </w:tcPr>
          <w:p w14:paraId="62F33A6E">
            <w:pPr>
              <w:spacing w:line="240" w:lineRule="auto"/>
              <w:jc w:val="center"/>
              <w:rPr>
                <w:rFonts w:ascii="宋体" w:hAnsi="宋体" w:cs="宋体"/>
                <w:sz w:val="21"/>
                <w:szCs w:val="21"/>
              </w:rPr>
            </w:pPr>
            <w:r>
              <w:rPr>
                <w:rFonts w:hint="eastAsia" w:ascii="宋体" w:hAnsi="宋体" w:cs="宋体"/>
                <w:sz w:val="21"/>
                <w:szCs w:val="21"/>
              </w:rPr>
              <w:t>成本下限</w:t>
            </w:r>
          </w:p>
        </w:tc>
        <w:tc>
          <w:tcPr>
            <w:tcW w:w="1301" w:type="pct"/>
            <w:vAlign w:val="center"/>
          </w:tcPr>
          <w:p w14:paraId="45169116">
            <w:pPr>
              <w:spacing w:line="240" w:lineRule="auto"/>
              <w:jc w:val="center"/>
              <w:rPr>
                <w:rFonts w:ascii="宋体" w:hAnsi="宋体" w:cs="宋体"/>
                <w:sz w:val="21"/>
                <w:szCs w:val="21"/>
              </w:rPr>
            </w:pPr>
            <w:r>
              <w:rPr>
                <w:rFonts w:hint="eastAsia" w:ascii="宋体" w:hAnsi="宋体" w:cs="宋体"/>
                <w:sz w:val="21"/>
                <w:szCs w:val="21"/>
              </w:rPr>
              <w:t>2.9099</w:t>
            </w:r>
          </w:p>
        </w:tc>
      </w:tr>
    </w:tbl>
    <w:p w14:paraId="78A16E26">
      <w:pPr>
        <w:pStyle w:val="142"/>
        <w:spacing w:line="240" w:lineRule="auto"/>
        <w:ind w:firstLine="420"/>
        <w:rPr>
          <w:rFonts w:ascii="Times New Roman"/>
        </w:rPr>
      </w:pPr>
      <w:r>
        <w:rPr>
          <w:rFonts w:hint="eastAsia" w:ascii="黑体" w:hAnsi="黑体" w:eastAsia="黑体" w:cs="黑体"/>
          <w:sz w:val="18"/>
          <w:szCs w:val="18"/>
        </w:rPr>
        <w:t>注1：</w:t>
      </w:r>
      <w:r>
        <w:rPr>
          <w:rFonts w:hint="eastAsia" w:ascii="Times New Roman"/>
          <w:sz w:val="18"/>
          <w:szCs w:val="18"/>
        </w:rPr>
        <w:t>单位“万元”</w:t>
      </w:r>
    </w:p>
    <w:p w14:paraId="379667A0">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D.2.5 度量结果确认</w:t>
      </w:r>
    </w:p>
    <w:p w14:paraId="6D536678">
      <w:pPr>
        <w:pStyle w:val="142"/>
        <w:spacing w:line="240" w:lineRule="auto"/>
        <w:ind w:firstLine="420"/>
      </w:pPr>
      <w:r>
        <w:rPr>
          <w:rFonts w:hint="eastAsia"/>
        </w:rPr>
        <w:t>将项目度量内容及结果等数据发与委托方作确认。</w:t>
      </w:r>
    </w:p>
    <w:p w14:paraId="511E6868">
      <w:pPr>
        <w:pStyle w:val="142"/>
        <w:keepNext w:val="0"/>
        <w:keepLines w:val="0"/>
        <w:pageBreakBefore w:val="0"/>
        <w:widowControl/>
        <w:kinsoku/>
        <w:wordWrap/>
        <w:overflowPunct/>
        <w:topLinePunct w:val="0"/>
        <w:autoSpaceDE w:val="0"/>
        <w:autoSpaceDN w:val="0"/>
        <w:bidi w:val="0"/>
        <w:adjustRightInd/>
        <w:snapToGrid/>
        <w:spacing w:before="157" w:beforeLines="50" w:after="157" w:afterLines="50" w:line="240" w:lineRule="auto"/>
        <w:ind w:firstLine="0" w:firstLineChars="0"/>
        <w:textAlignment w:val="auto"/>
        <w:rPr>
          <w:rFonts w:hint="eastAsia" w:ascii="黑体" w:hAnsi="黑体" w:eastAsia="黑体" w:cs="黑体"/>
        </w:rPr>
      </w:pPr>
      <w:r>
        <w:rPr>
          <w:rFonts w:hint="eastAsia" w:ascii="黑体" w:hAnsi="黑体" w:eastAsia="黑体" w:cs="黑体"/>
        </w:rPr>
        <w:t>D.2.6 生成度量报告</w:t>
      </w:r>
    </w:p>
    <w:p w14:paraId="78B7F0B3">
      <w:pPr>
        <w:pStyle w:val="142"/>
        <w:spacing w:line="240" w:lineRule="auto"/>
        <w:ind w:firstLine="420"/>
        <w:rPr>
          <w:rFonts w:ascii="Times New Roman"/>
        </w:rPr>
      </w:pPr>
      <w:r>
        <w:rPr>
          <w:rFonts w:hint="eastAsia"/>
        </w:rPr>
        <w:t>评估报告见表</w:t>
      </w:r>
      <w:r>
        <w:rPr>
          <w:rFonts w:ascii="Times New Roman"/>
        </w:rPr>
        <w:t>D.5</w:t>
      </w:r>
    </w:p>
    <w:p w14:paraId="02042438">
      <w:pPr>
        <w:pStyle w:val="142"/>
        <w:spacing w:before="156" w:beforeLines="50" w:after="156" w:afterLines="50" w:line="240" w:lineRule="auto"/>
        <w:ind w:firstLine="0" w:firstLineChars="0"/>
        <w:jc w:val="center"/>
        <w:rPr>
          <w:rFonts w:ascii="黑体" w:hAnsi="黑体" w:eastAsia="黑体" w:cs="黑体"/>
        </w:rPr>
      </w:pPr>
      <w:r>
        <w:rPr>
          <w:rFonts w:hint="eastAsia" w:ascii="黑体" w:hAnsi="黑体" w:eastAsia="黑体" w:cs="黑体"/>
        </w:rPr>
        <w:t>表D.5 度量报告</w:t>
      </w:r>
    </w:p>
    <w:tbl>
      <w:tblPr>
        <w:tblStyle w:val="34"/>
        <w:tblW w:w="0" w:type="auto"/>
        <w:tblInd w:w="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6"/>
      </w:tblGrid>
      <w:tr w14:paraId="40BF8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56" w:type="dxa"/>
          </w:tcPr>
          <w:p w14:paraId="598152A7">
            <w:pPr>
              <w:autoSpaceDE w:val="0"/>
              <w:autoSpaceDN w:val="0"/>
              <w:spacing w:before="55" w:line="240" w:lineRule="auto"/>
              <w:ind w:right="3369"/>
              <w:jc w:val="center"/>
              <w:rPr>
                <w:rFonts w:hint="eastAsia" w:ascii="宋体" w:hAnsi="宋体" w:cs="宋体"/>
                <w:b/>
                <w:spacing w:val="-2"/>
                <w:kern w:val="0"/>
                <w:sz w:val="32"/>
                <w:szCs w:val="22"/>
              </w:rPr>
            </w:pPr>
            <w:r>
              <w:rPr>
                <w:rFonts w:hint="eastAsia" w:ascii="宋体" w:hAnsi="宋体" w:cs="宋体"/>
                <w:b/>
                <w:spacing w:val="-2"/>
                <w:kern w:val="0"/>
                <w:sz w:val="32"/>
                <w:szCs w:val="22"/>
              </w:rPr>
              <w:t xml:space="preserve">                    </w:t>
            </w:r>
          </w:p>
          <w:p w14:paraId="64C0FDD9">
            <w:pPr>
              <w:autoSpaceDE w:val="0"/>
              <w:autoSpaceDN w:val="0"/>
              <w:spacing w:before="55" w:line="240" w:lineRule="auto"/>
              <w:ind w:right="3369"/>
              <w:jc w:val="center"/>
              <w:rPr>
                <w:rFonts w:ascii="宋体" w:hAnsi="宋体" w:cs="宋体"/>
                <w:b/>
                <w:spacing w:val="-2"/>
                <w:kern w:val="0"/>
                <w:sz w:val="32"/>
                <w:szCs w:val="22"/>
              </w:rPr>
            </w:pPr>
            <w:r>
              <w:rPr>
                <w:rFonts w:hint="eastAsia" w:ascii="宋体" w:hAnsi="宋体" w:cs="宋体"/>
                <w:b/>
                <w:spacing w:val="-2"/>
                <w:kern w:val="0"/>
                <w:sz w:val="32"/>
                <w:szCs w:val="22"/>
                <w:lang w:val="en-US" w:eastAsia="zh-CN"/>
              </w:rPr>
              <w:t xml:space="preserve">                     </w:t>
            </w:r>
            <w:r>
              <w:rPr>
                <w:rFonts w:ascii="宋体" w:hAnsi="宋体" w:cs="宋体"/>
                <w:b/>
                <w:spacing w:val="-2"/>
                <w:kern w:val="0"/>
                <w:sz w:val="32"/>
                <w:szCs w:val="22"/>
              </w:rPr>
              <w:t>软件</w:t>
            </w:r>
            <w:r>
              <w:rPr>
                <w:rFonts w:hint="eastAsia" w:ascii="宋体" w:hAnsi="宋体" w:cs="宋体"/>
                <w:b/>
                <w:spacing w:val="-2"/>
                <w:kern w:val="0"/>
                <w:sz w:val="32"/>
                <w:szCs w:val="22"/>
              </w:rPr>
              <w:t>度量</w:t>
            </w:r>
            <w:r>
              <w:rPr>
                <w:rFonts w:ascii="宋体" w:hAnsi="宋体" w:cs="宋体"/>
                <w:b/>
                <w:spacing w:val="-2"/>
                <w:kern w:val="0"/>
                <w:sz w:val="32"/>
                <w:szCs w:val="22"/>
              </w:rPr>
              <w:t>报告</w:t>
            </w:r>
          </w:p>
          <w:p w14:paraId="0DC762E1">
            <w:pPr>
              <w:pStyle w:val="32"/>
              <w:spacing w:line="240" w:lineRule="auto"/>
              <w:ind w:firstLine="210"/>
              <w:rPr>
                <w:rFonts w:ascii="宋体"/>
              </w:rPr>
            </w:pPr>
          </w:p>
          <w:p w14:paraId="7AD241B1">
            <w:pPr>
              <w:pStyle w:val="32"/>
              <w:spacing w:line="240" w:lineRule="auto"/>
              <w:ind w:firstLine="210"/>
              <w:rPr>
                <w:rFonts w:ascii="宋体"/>
              </w:rPr>
            </w:pPr>
          </w:p>
          <w:p w14:paraId="714671A3">
            <w:pPr>
              <w:pStyle w:val="32"/>
              <w:spacing w:line="240" w:lineRule="auto"/>
              <w:ind w:firstLine="210"/>
              <w:rPr>
                <w:rFonts w:ascii="宋体"/>
              </w:rPr>
            </w:pPr>
          </w:p>
          <w:p w14:paraId="613884CA">
            <w:pPr>
              <w:pStyle w:val="32"/>
              <w:spacing w:line="240" w:lineRule="auto"/>
              <w:ind w:firstLine="210"/>
              <w:rPr>
                <w:rFonts w:ascii="宋体"/>
              </w:rPr>
            </w:pPr>
          </w:p>
          <w:p w14:paraId="4D31ACB6">
            <w:pPr>
              <w:pStyle w:val="10"/>
              <w:spacing w:line="240" w:lineRule="auto"/>
              <w:rPr>
                <w:rFonts w:ascii="宋体"/>
              </w:rPr>
            </w:pPr>
          </w:p>
          <w:p w14:paraId="1D7092FE">
            <w:pPr>
              <w:pStyle w:val="32"/>
              <w:spacing w:line="240" w:lineRule="auto"/>
              <w:ind w:firstLine="0" w:firstLineChars="0"/>
              <w:rPr>
                <w:rFonts w:ascii="宋体"/>
              </w:rPr>
            </w:pPr>
            <w:r>
              <w:rPr>
                <w:rFonts w:ascii="宋体"/>
              </w:rPr>
              <w:br w:type="textWrapping"/>
            </w:r>
          </w:p>
          <w:p w14:paraId="44DB13BF">
            <w:pPr>
              <w:pStyle w:val="32"/>
              <w:spacing w:line="240" w:lineRule="auto"/>
              <w:ind w:left="0" w:leftChars="0" w:firstLine="0" w:firstLineChars="0"/>
              <w:rPr>
                <w:rFonts w:ascii="宋体"/>
              </w:rPr>
            </w:pPr>
          </w:p>
          <w:p w14:paraId="41D572B6">
            <w:pPr>
              <w:pStyle w:val="32"/>
              <w:spacing w:line="240" w:lineRule="auto"/>
              <w:ind w:firstLine="210"/>
              <w:rPr>
                <w:rFonts w:ascii="宋体"/>
              </w:rPr>
            </w:pPr>
          </w:p>
          <w:p w14:paraId="7B2F48B7">
            <w:pPr>
              <w:pStyle w:val="32"/>
              <w:spacing w:line="240" w:lineRule="auto"/>
              <w:ind w:firstLine="210"/>
              <w:rPr>
                <w:rFonts w:ascii="宋体"/>
              </w:rPr>
            </w:pPr>
          </w:p>
          <w:p w14:paraId="77F181DA">
            <w:pPr>
              <w:pStyle w:val="32"/>
              <w:spacing w:line="240" w:lineRule="auto"/>
              <w:ind w:firstLine="210"/>
              <w:rPr>
                <w:rFonts w:ascii="宋体"/>
              </w:rPr>
            </w:pPr>
          </w:p>
          <w:p w14:paraId="3C239917">
            <w:pPr>
              <w:autoSpaceDE w:val="0"/>
              <w:autoSpaceDN w:val="0"/>
              <w:spacing w:line="240" w:lineRule="auto"/>
              <w:ind w:left="1520" w:right="1219"/>
              <w:jc w:val="left"/>
              <w:rPr>
                <w:rFonts w:ascii="宋体" w:hAnsi="宋体" w:cs="宋体"/>
                <w:b/>
                <w:w w:val="95"/>
                <w:kern w:val="0"/>
                <w:sz w:val="32"/>
                <w:szCs w:val="22"/>
              </w:rPr>
            </w:pPr>
            <w:r>
              <w:rPr>
                <w:rFonts w:ascii="宋体" w:hAnsi="宋体" w:cs="宋体"/>
                <w:b/>
                <w:w w:val="95"/>
                <w:kern w:val="0"/>
                <w:sz w:val="32"/>
                <w:szCs w:val="22"/>
              </w:rPr>
              <w:t>项目编号：XXXXX</w:t>
            </w:r>
          </w:p>
          <w:p w14:paraId="0791C852">
            <w:pPr>
              <w:pStyle w:val="32"/>
              <w:spacing w:after="0" w:line="240" w:lineRule="auto"/>
              <w:ind w:firstLine="1526" w:firstLineChars="500"/>
              <w:rPr>
                <w:rFonts w:ascii="宋体"/>
              </w:rPr>
            </w:pPr>
            <w:r>
              <w:rPr>
                <w:rFonts w:hint="eastAsia" w:ascii="宋体" w:hAnsi="宋体" w:cs="宋体"/>
                <w:b/>
                <w:w w:val="95"/>
                <w:kern w:val="0"/>
                <w:sz w:val="32"/>
                <w:szCs w:val="22"/>
              </w:rPr>
              <w:t>项目名称：XXXXXXXX建设项目</w:t>
            </w:r>
          </w:p>
          <w:p w14:paraId="36BED51B">
            <w:pPr>
              <w:pStyle w:val="9"/>
              <w:spacing w:after="0" w:line="240" w:lineRule="auto"/>
              <w:ind w:firstLine="1576" w:firstLineChars="500"/>
              <w:rPr>
                <w:rFonts w:ascii="宋体"/>
              </w:rPr>
            </w:pPr>
            <w:r>
              <w:rPr>
                <w:rFonts w:hint="eastAsia" w:ascii="宋体" w:hAnsi="宋体" w:cs="宋体"/>
                <w:b/>
                <w:spacing w:val="-1"/>
                <w:w w:val="99"/>
                <w:kern w:val="0"/>
                <w:sz w:val="32"/>
                <w:szCs w:val="22"/>
              </w:rPr>
              <w:t>委托</w:t>
            </w:r>
            <w:r>
              <w:rPr>
                <w:rFonts w:ascii="宋体" w:hAnsi="宋体" w:cs="宋体"/>
                <w:b/>
                <w:spacing w:val="-1"/>
                <w:w w:val="99"/>
                <w:kern w:val="0"/>
                <w:sz w:val="32"/>
                <w:szCs w:val="22"/>
              </w:rPr>
              <w:t xml:space="preserve">单位：xxxxxx                         </w:t>
            </w:r>
          </w:p>
          <w:p w14:paraId="3B578A23">
            <w:pPr>
              <w:autoSpaceDE w:val="0"/>
              <w:autoSpaceDN w:val="0"/>
              <w:spacing w:line="240" w:lineRule="auto"/>
              <w:ind w:left="1520"/>
              <w:jc w:val="left"/>
              <w:rPr>
                <w:rFonts w:ascii="宋体" w:hAnsi="宋体" w:cs="宋体"/>
                <w:b/>
                <w:spacing w:val="-10"/>
                <w:w w:val="95"/>
                <w:sz w:val="32"/>
                <w:szCs w:val="22"/>
              </w:rPr>
            </w:pPr>
            <w:r>
              <w:rPr>
                <w:rFonts w:hint="eastAsia" w:ascii="宋体" w:hAnsi="宋体" w:cs="宋体"/>
                <w:b/>
                <w:w w:val="95"/>
                <w:sz w:val="32"/>
                <w:szCs w:val="22"/>
              </w:rPr>
              <w:t>度量</w:t>
            </w:r>
            <w:r>
              <w:rPr>
                <w:rFonts w:ascii="宋体" w:hAnsi="宋体" w:cs="宋体"/>
                <w:b/>
                <w:w w:val="95"/>
                <w:sz w:val="32"/>
                <w:szCs w:val="22"/>
              </w:rPr>
              <w:t>时间：二〇二</w:t>
            </w:r>
            <w:r>
              <w:rPr>
                <w:rFonts w:hint="eastAsia" w:ascii="宋体" w:hAnsi="宋体" w:cs="宋体"/>
                <w:b/>
                <w:w w:val="95"/>
                <w:sz w:val="32"/>
                <w:szCs w:val="22"/>
              </w:rPr>
              <w:t>四</w:t>
            </w:r>
            <w:r>
              <w:rPr>
                <w:rFonts w:ascii="宋体" w:hAnsi="宋体" w:cs="宋体"/>
                <w:b/>
                <w:w w:val="95"/>
                <w:sz w:val="32"/>
                <w:szCs w:val="22"/>
              </w:rPr>
              <w:t>年</w:t>
            </w:r>
            <w:r>
              <w:rPr>
                <w:rFonts w:hint="eastAsia" w:ascii="宋体" w:hAnsi="宋体" w:cs="宋体"/>
                <w:b/>
                <w:w w:val="95"/>
                <w:sz w:val="32"/>
                <w:szCs w:val="22"/>
              </w:rPr>
              <w:t>七</w:t>
            </w:r>
            <w:r>
              <w:rPr>
                <w:rFonts w:ascii="宋体" w:hAnsi="宋体" w:cs="宋体"/>
                <w:b/>
                <w:spacing w:val="-10"/>
                <w:w w:val="95"/>
                <w:sz w:val="32"/>
                <w:szCs w:val="22"/>
              </w:rPr>
              <w:t>月</w:t>
            </w:r>
            <w:bookmarkStart w:id="96" w:name="_Toc23734"/>
          </w:p>
          <w:p w14:paraId="669D69A3">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1 责任声明</w:t>
            </w:r>
          </w:p>
          <w:p w14:paraId="23F6C81F">
            <w:pPr>
              <w:pStyle w:val="143"/>
              <w:widowControl/>
              <w:autoSpaceDE/>
              <w:autoSpaceDN/>
              <w:spacing w:before="0" w:line="240" w:lineRule="auto"/>
              <w:ind w:left="0" w:firstLine="420"/>
              <w:rPr>
                <w:sz w:val="21"/>
                <w:szCs w:val="21"/>
              </w:rPr>
            </w:pPr>
            <w:r>
              <w:rPr>
                <w:rFonts w:hint="eastAsia"/>
                <w:sz w:val="21"/>
                <w:szCs w:val="21"/>
                <w:lang w:eastAsia="zh-CN"/>
              </w:rPr>
              <w:t>（</w:t>
            </w:r>
            <w:r>
              <w:rPr>
                <w:rFonts w:hint="eastAsia"/>
                <w:sz w:val="21"/>
                <w:szCs w:val="21"/>
                <w:lang w:val="en-US" w:eastAsia="zh-CN"/>
              </w:rPr>
              <w:t>1</w:t>
            </w:r>
            <w:r>
              <w:rPr>
                <w:rFonts w:hint="eastAsia"/>
                <w:sz w:val="21"/>
                <w:szCs w:val="21"/>
                <w:lang w:eastAsia="zh-CN"/>
              </w:rPr>
              <w:t>）</w:t>
            </w:r>
            <w:r>
              <w:rPr>
                <w:rFonts w:hint="eastAsia"/>
                <w:sz w:val="21"/>
                <w:szCs w:val="21"/>
              </w:rPr>
              <w:t>本评估报告由评估单位的专家所出具，专家持有工业和信息化部教育与考试中心颁发的软件工程造价师证书或同等技能效力的专业证书。</w:t>
            </w:r>
          </w:p>
          <w:p w14:paraId="2FFAD47A">
            <w:pPr>
              <w:pStyle w:val="143"/>
              <w:widowControl/>
              <w:autoSpaceDE/>
              <w:autoSpaceDN/>
              <w:spacing w:before="0" w:line="240" w:lineRule="auto"/>
              <w:ind w:left="0" w:firstLine="420"/>
              <w:rPr>
                <w:sz w:val="21"/>
                <w:szCs w:val="21"/>
              </w:rPr>
            </w:pPr>
            <w:r>
              <w:rPr>
                <w:rFonts w:hint="eastAsia"/>
                <w:sz w:val="21"/>
                <w:szCs w:val="21"/>
                <w:lang w:eastAsia="zh-CN"/>
              </w:rPr>
              <w:t>（</w:t>
            </w:r>
            <w:r>
              <w:rPr>
                <w:rFonts w:hint="eastAsia"/>
                <w:sz w:val="21"/>
                <w:szCs w:val="21"/>
                <w:lang w:val="en-US" w:eastAsia="zh-CN"/>
              </w:rPr>
              <w:t>2</w:t>
            </w:r>
            <w:r>
              <w:rPr>
                <w:rFonts w:hint="eastAsia"/>
                <w:sz w:val="21"/>
                <w:szCs w:val="21"/>
                <w:lang w:eastAsia="zh-CN"/>
              </w:rPr>
              <w:t>）</w:t>
            </w:r>
            <w:r>
              <w:rPr>
                <w:rFonts w:hint="eastAsia"/>
                <w:sz w:val="21"/>
                <w:szCs w:val="21"/>
              </w:rPr>
              <w:t>经持证的软件工程造价评估专家，恪守独立、客观、公正的原则，遵循国家有关法律、法规和评估相关标准、准则的规定，履行了相关的评估程序，提出本评估报告书。</w:t>
            </w:r>
          </w:p>
          <w:p w14:paraId="5066F96C">
            <w:pPr>
              <w:pStyle w:val="143"/>
              <w:widowControl/>
              <w:autoSpaceDE/>
              <w:autoSpaceDN/>
              <w:spacing w:before="0" w:line="240" w:lineRule="auto"/>
              <w:ind w:left="0" w:firstLine="420"/>
              <w:rPr>
                <w:sz w:val="21"/>
                <w:szCs w:val="21"/>
              </w:rPr>
            </w:pPr>
            <w:r>
              <w:rPr>
                <w:rFonts w:hint="eastAsia"/>
                <w:sz w:val="21"/>
                <w:szCs w:val="21"/>
                <w:lang w:eastAsia="zh-CN"/>
              </w:rPr>
              <w:t>（</w:t>
            </w:r>
            <w:r>
              <w:rPr>
                <w:rFonts w:hint="eastAsia"/>
                <w:sz w:val="21"/>
                <w:szCs w:val="21"/>
                <w:lang w:val="en-US" w:eastAsia="zh-CN"/>
              </w:rPr>
              <w:t>3</w:t>
            </w:r>
            <w:r>
              <w:rPr>
                <w:rFonts w:hint="eastAsia"/>
                <w:sz w:val="21"/>
                <w:szCs w:val="21"/>
                <w:lang w:eastAsia="zh-CN"/>
              </w:rPr>
              <w:t>）</w:t>
            </w:r>
            <w:r>
              <w:rPr>
                <w:rFonts w:hint="eastAsia"/>
                <w:sz w:val="21"/>
                <w:szCs w:val="21"/>
              </w:rPr>
              <w:t>本评估报告书及其评估结论是在委托方所提供的资料的基础上得出的，以本报告“需求分析与确认”为前提，度量结论仅限定于“需求来源”范围内，评估资料的真实性、合法性、完整性由委托方负责，若因委托方提供资料的失实、缺失所导致评估结果失真而引起的责任，不属于评估单位及评估专家的责任范围。</w:t>
            </w:r>
          </w:p>
          <w:p w14:paraId="6A6D43F4">
            <w:pPr>
              <w:pStyle w:val="143"/>
              <w:widowControl/>
              <w:autoSpaceDE/>
              <w:autoSpaceDN/>
              <w:spacing w:before="0" w:line="240" w:lineRule="auto"/>
              <w:ind w:left="0" w:firstLine="420"/>
              <w:rPr>
                <w:sz w:val="21"/>
                <w:szCs w:val="21"/>
              </w:rPr>
            </w:pPr>
            <w:r>
              <w:rPr>
                <w:rFonts w:hint="eastAsia"/>
                <w:sz w:val="21"/>
                <w:szCs w:val="21"/>
                <w:lang w:eastAsia="zh-CN"/>
              </w:rPr>
              <w:t>（</w:t>
            </w:r>
            <w:r>
              <w:rPr>
                <w:rFonts w:hint="eastAsia"/>
                <w:sz w:val="21"/>
                <w:szCs w:val="21"/>
                <w:lang w:val="en-US" w:eastAsia="zh-CN"/>
              </w:rPr>
              <w:t>4</w:t>
            </w:r>
            <w:r>
              <w:rPr>
                <w:rFonts w:hint="eastAsia"/>
                <w:sz w:val="21"/>
                <w:szCs w:val="21"/>
                <w:lang w:eastAsia="zh-CN"/>
              </w:rPr>
              <w:t>）</w:t>
            </w:r>
            <w:r>
              <w:rPr>
                <w:rFonts w:hint="eastAsia"/>
                <w:sz w:val="21"/>
                <w:szCs w:val="21"/>
              </w:rPr>
              <w:t>本评估报告书及度量结果仅限于委托单位使用，报告的全部或部分内容不得提供给其他任何单位和个人，不得见诸于公开媒体。</w:t>
            </w:r>
          </w:p>
          <w:p w14:paraId="34E857E7">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 xml:space="preserve">2 </w:t>
            </w:r>
            <w:bookmarkEnd w:id="96"/>
            <w:r>
              <w:rPr>
                <w:rFonts w:hint="eastAsia" w:ascii="黑体" w:hAnsi="黑体" w:eastAsia="黑体" w:cs="黑体"/>
                <w:bCs/>
                <w:kern w:val="44"/>
                <w:szCs w:val="21"/>
              </w:rPr>
              <w:t>度量概括</w:t>
            </w:r>
          </w:p>
          <w:p w14:paraId="4FB04864">
            <w:pPr>
              <w:autoSpaceDE w:val="0"/>
              <w:autoSpaceDN w:val="0"/>
              <w:spacing w:before="40" w:line="240" w:lineRule="auto"/>
              <w:ind w:firstLine="420" w:firstLineChars="200"/>
              <w:jc w:val="left"/>
              <w:outlineLvl w:val="0"/>
              <w:rPr>
                <w:rFonts w:ascii="宋体"/>
              </w:rPr>
            </w:pPr>
            <w:r>
              <w:rPr>
                <w:rFonts w:hint="eastAsia" w:ascii="宋体"/>
              </w:rPr>
              <w:t>为建设一体化交付割接系统，提升资源利用率，降低运营成本，提高快速支撑响应能力。进行一体化交付割接系统的建设，主要进行集中化的人员、设备、环境管理和割接过程信息化管理，实现系统交付的标准化、信息化、集成化、可视化能力，提升系统交付的规范性和安全性，提供交付活动与割接过程管理等功能。</w:t>
            </w:r>
          </w:p>
          <w:p w14:paraId="79977E0F">
            <w:pPr>
              <w:pStyle w:val="32"/>
              <w:spacing w:line="240" w:lineRule="auto"/>
              <w:ind w:firstLineChars="200"/>
              <w:rPr>
                <w:rFonts w:ascii="宋体"/>
              </w:rPr>
            </w:pPr>
            <w:r>
              <w:rPr>
                <w:rFonts w:hint="eastAsia" w:ascii="宋体"/>
              </w:rPr>
              <w:t>需要说明的是，本次成本度量的范围为一体化交付割接系统的定制化软件开发部分。</w:t>
            </w:r>
          </w:p>
          <w:p w14:paraId="3CE3EBD5">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bookmarkStart w:id="97" w:name="_Toc31500"/>
            <w:r>
              <w:rPr>
                <w:rFonts w:hint="eastAsia" w:ascii="黑体" w:hAnsi="黑体" w:eastAsia="黑体" w:cs="黑体"/>
                <w:bCs/>
                <w:kern w:val="44"/>
                <w:szCs w:val="21"/>
              </w:rPr>
              <w:t>3 评估依据</w:t>
            </w:r>
            <w:bookmarkEnd w:id="97"/>
          </w:p>
          <w:p w14:paraId="7ECEEB98">
            <w:pPr>
              <w:autoSpaceDE w:val="0"/>
              <w:autoSpaceDN w:val="0"/>
              <w:spacing w:line="240" w:lineRule="auto"/>
              <w:ind w:firstLine="412" w:firstLineChars="200"/>
              <w:jc w:val="left"/>
              <w:rPr>
                <w:rFonts w:ascii="宋体" w:hAnsi="宋体" w:cs="宋体"/>
                <w:color w:val="auto"/>
                <w:kern w:val="0"/>
                <w:szCs w:val="21"/>
              </w:rPr>
            </w:pPr>
            <w:r>
              <w:rPr>
                <w:rFonts w:ascii="宋体" w:hAnsi="宋体" w:cs="宋体"/>
                <w:color w:val="auto"/>
                <w:spacing w:val="-2"/>
                <w:kern w:val="0"/>
                <w:szCs w:val="21"/>
              </w:rPr>
              <w:t>本报告中软件功能规模度量、软件开发工作量的主要原则、方法、过程依据的主要国际、国内标准以及IT咨询相关理论基础如下：</w:t>
            </w:r>
          </w:p>
          <w:p w14:paraId="18CAB8D5">
            <w:pPr>
              <w:numPr>
                <w:ilvl w:val="0"/>
                <w:numId w:val="31"/>
              </w:numPr>
              <w:tabs>
                <w:tab w:val="left" w:pos="1160"/>
              </w:tabs>
              <w:autoSpaceDE w:val="0"/>
              <w:autoSpaceDN w:val="0"/>
              <w:spacing w:line="240" w:lineRule="auto"/>
              <w:ind w:firstLine="420" w:firstLineChars="200"/>
              <w:jc w:val="left"/>
              <w:rPr>
                <w:rFonts w:ascii="宋体"/>
                <w:color w:val="auto"/>
                <w:spacing w:val="-2"/>
                <w:kern w:val="0"/>
                <w:szCs w:val="21"/>
              </w:rPr>
            </w:pPr>
            <w:r>
              <w:rPr>
                <w:rFonts w:ascii="宋体"/>
                <w:color w:val="auto"/>
                <w:kern w:val="0"/>
                <w:szCs w:val="21"/>
              </w:rPr>
              <w:t>《软件工程 软件开发成本度量规范》（GB/T 36964-</w:t>
            </w:r>
            <w:r>
              <w:rPr>
                <w:rFonts w:ascii="宋体"/>
                <w:color w:val="auto"/>
                <w:spacing w:val="-2"/>
                <w:kern w:val="0"/>
                <w:szCs w:val="21"/>
              </w:rPr>
              <w:t>2018）</w:t>
            </w:r>
          </w:p>
          <w:p w14:paraId="57AAFEF7">
            <w:pPr>
              <w:numPr>
                <w:ilvl w:val="0"/>
                <w:numId w:val="31"/>
              </w:numPr>
              <w:tabs>
                <w:tab w:val="left" w:pos="1160"/>
              </w:tabs>
              <w:autoSpaceDE w:val="0"/>
              <w:autoSpaceDN w:val="0"/>
              <w:spacing w:line="240" w:lineRule="auto"/>
              <w:ind w:firstLine="420" w:firstLineChars="200"/>
              <w:jc w:val="left"/>
              <w:rPr>
                <w:rFonts w:ascii="宋体"/>
                <w:color w:val="auto"/>
                <w:spacing w:val="-2"/>
                <w:kern w:val="0"/>
                <w:szCs w:val="21"/>
              </w:rPr>
            </w:pPr>
            <w:r>
              <w:rPr>
                <w:rFonts w:ascii="宋体"/>
                <w:color w:val="auto"/>
                <w:kern w:val="0"/>
                <w:szCs w:val="21"/>
              </w:rPr>
              <w:t>《</w:t>
            </w:r>
            <w:r>
              <w:rPr>
                <w:rFonts w:hint="eastAsia" w:ascii="宋体" w:hAnsi="Times New Roman" w:eastAsia="宋体" w:cs="Times New Roman"/>
                <w:color w:val="auto"/>
                <w:lang w:val="en-US" w:eastAsia="zh-CN"/>
              </w:rPr>
              <w:t>系统与软件工程</w:t>
            </w:r>
            <w:r>
              <w:rPr>
                <w:rFonts w:hint="eastAsia" w:ascii="宋体" w:cs="Times New Roman"/>
                <w:color w:val="auto"/>
                <w:lang w:val="en-US" w:eastAsia="zh-CN"/>
              </w:rPr>
              <w:t xml:space="preserve"> </w:t>
            </w:r>
            <w:r>
              <w:rPr>
                <w:rFonts w:hint="eastAsia" w:ascii="宋体" w:hAnsi="Times New Roman" w:eastAsia="宋体" w:cs="Times New Roman"/>
                <w:color w:val="auto"/>
                <w:lang w:val="en-US" w:eastAsia="zh-CN"/>
              </w:rPr>
              <w:t>功能规模测量</w:t>
            </w:r>
            <w:r>
              <w:rPr>
                <w:rFonts w:hint="eastAsia" w:ascii="宋体" w:cs="Times New Roman"/>
                <w:color w:val="auto"/>
                <w:lang w:val="en-US" w:eastAsia="zh-CN"/>
              </w:rPr>
              <w:t xml:space="preserve"> </w:t>
            </w:r>
            <w:r>
              <w:rPr>
                <w:rFonts w:hint="eastAsia" w:ascii="宋体" w:hAnsi="Times New Roman" w:eastAsia="宋体" w:cs="Times New Roman"/>
                <w:color w:val="auto"/>
                <w:lang w:val="en-US" w:eastAsia="zh-CN"/>
              </w:rPr>
              <w:t>COSMIC方法</w:t>
            </w:r>
            <w:r>
              <w:rPr>
                <w:rFonts w:ascii="宋体"/>
                <w:color w:val="auto"/>
                <w:kern w:val="0"/>
                <w:szCs w:val="21"/>
              </w:rPr>
              <w:t>》（</w:t>
            </w:r>
            <w:r>
              <w:rPr>
                <w:rFonts w:hint="eastAsia" w:ascii="宋体" w:hAnsi="Times New Roman" w:eastAsia="宋体" w:cs="Times New Roman"/>
                <w:color w:val="auto"/>
                <w:lang w:val="en-US" w:eastAsia="zh-CN"/>
              </w:rPr>
              <w:t>GB/T 42452-2023</w:t>
            </w:r>
            <w:r>
              <w:rPr>
                <w:rFonts w:ascii="宋体"/>
                <w:color w:val="auto"/>
                <w:spacing w:val="-2"/>
                <w:kern w:val="0"/>
                <w:szCs w:val="21"/>
              </w:rPr>
              <w:t>）</w:t>
            </w:r>
          </w:p>
          <w:p w14:paraId="0E0C17EB">
            <w:pPr>
              <w:tabs>
                <w:tab w:val="left" w:pos="1160"/>
              </w:tabs>
              <w:autoSpaceDE w:val="0"/>
              <w:autoSpaceDN w:val="0"/>
              <w:spacing w:line="240" w:lineRule="auto"/>
              <w:ind w:firstLine="420" w:firstLineChars="200"/>
              <w:jc w:val="left"/>
              <w:rPr>
                <w:rFonts w:ascii="宋体"/>
                <w:color w:val="auto"/>
                <w:kern w:val="0"/>
                <w:szCs w:val="21"/>
              </w:rPr>
            </w:pPr>
            <w:r>
              <w:rPr>
                <w:rFonts w:hint="eastAsia" w:ascii="宋体"/>
                <w:color w:val="auto"/>
                <w:kern w:val="0"/>
                <w:szCs w:val="21"/>
              </w:rPr>
              <w:t>（</w:t>
            </w:r>
            <w:r>
              <w:rPr>
                <w:rFonts w:hint="eastAsia" w:ascii="宋体"/>
                <w:color w:val="auto"/>
                <w:kern w:val="0"/>
                <w:szCs w:val="21"/>
                <w:lang w:val="en-US" w:eastAsia="zh-CN"/>
              </w:rPr>
              <w:t>3</w:t>
            </w:r>
            <w:r>
              <w:rPr>
                <w:rFonts w:hint="eastAsia" w:ascii="宋体"/>
                <w:color w:val="auto"/>
                <w:kern w:val="0"/>
                <w:szCs w:val="21"/>
              </w:rPr>
              <w:t>）</w:t>
            </w:r>
            <w:r>
              <w:rPr>
                <w:rFonts w:ascii="宋体"/>
                <w:color w:val="auto"/>
                <w:kern w:val="0"/>
                <w:szCs w:val="21"/>
              </w:rPr>
              <w:t>《COSMIC度量手册》（ISO 19761）（5.0版本）</w:t>
            </w:r>
          </w:p>
          <w:p w14:paraId="08537BBD">
            <w:pPr>
              <w:tabs>
                <w:tab w:val="left" w:pos="1160"/>
              </w:tabs>
              <w:autoSpaceDE w:val="0"/>
              <w:autoSpaceDN w:val="0"/>
              <w:spacing w:line="240" w:lineRule="auto"/>
              <w:ind w:firstLine="412" w:firstLineChars="200"/>
              <w:jc w:val="left"/>
              <w:rPr>
                <w:rFonts w:ascii="宋体"/>
                <w:color w:val="auto"/>
                <w:spacing w:val="-2"/>
                <w:kern w:val="0"/>
                <w:szCs w:val="21"/>
              </w:rPr>
            </w:pPr>
            <w:r>
              <w:rPr>
                <w:rFonts w:hint="eastAsia" w:ascii="宋体"/>
                <w:color w:val="auto"/>
                <w:spacing w:val="-2"/>
                <w:kern w:val="0"/>
                <w:szCs w:val="21"/>
              </w:rPr>
              <w:t>（</w:t>
            </w:r>
            <w:r>
              <w:rPr>
                <w:rFonts w:hint="eastAsia" w:ascii="宋体"/>
                <w:color w:val="auto"/>
                <w:spacing w:val="-2"/>
                <w:kern w:val="0"/>
                <w:szCs w:val="21"/>
                <w:lang w:val="en-US" w:eastAsia="zh-CN"/>
              </w:rPr>
              <w:t>4</w:t>
            </w:r>
            <w:r>
              <w:rPr>
                <w:rFonts w:hint="eastAsia" w:ascii="宋体"/>
                <w:color w:val="auto"/>
                <w:spacing w:val="-2"/>
                <w:kern w:val="0"/>
                <w:szCs w:val="21"/>
              </w:rPr>
              <w:t>）</w:t>
            </w:r>
            <w:r>
              <w:rPr>
                <w:rFonts w:ascii="宋体"/>
                <w:color w:val="auto"/>
                <w:spacing w:val="-2"/>
                <w:kern w:val="0"/>
                <w:szCs w:val="21"/>
              </w:rPr>
              <w:t>《2022中国软件行业基准数据》（CSBMK-202</w:t>
            </w:r>
            <w:r>
              <w:rPr>
                <w:rFonts w:hint="eastAsia" w:ascii="宋体"/>
                <w:color w:val="auto"/>
                <w:spacing w:val="-2"/>
                <w:kern w:val="0"/>
                <w:szCs w:val="21"/>
              </w:rPr>
              <w:t>3</w:t>
            </w:r>
            <w:r>
              <w:rPr>
                <w:rFonts w:ascii="宋体"/>
                <w:color w:val="auto"/>
                <w:spacing w:val="-2"/>
                <w:kern w:val="0"/>
                <w:szCs w:val="21"/>
              </w:rPr>
              <w:t>10）</w:t>
            </w:r>
          </w:p>
          <w:p w14:paraId="13448DDC">
            <w:pPr>
              <w:tabs>
                <w:tab w:val="left" w:pos="1160"/>
              </w:tabs>
              <w:autoSpaceDE w:val="0"/>
              <w:autoSpaceDN w:val="0"/>
              <w:spacing w:line="240" w:lineRule="auto"/>
              <w:ind w:firstLine="412" w:firstLineChars="200"/>
              <w:jc w:val="left"/>
              <w:rPr>
                <w:rFonts w:ascii="宋体"/>
                <w:b/>
                <w:color w:val="auto"/>
                <w:kern w:val="0"/>
                <w:szCs w:val="21"/>
              </w:rPr>
            </w:pPr>
            <w:r>
              <w:rPr>
                <w:rFonts w:hint="eastAsia" w:ascii="宋体"/>
                <w:color w:val="auto"/>
                <w:spacing w:val="-2"/>
                <w:kern w:val="0"/>
                <w:szCs w:val="21"/>
              </w:rPr>
              <w:t>（</w:t>
            </w:r>
            <w:r>
              <w:rPr>
                <w:rFonts w:hint="eastAsia" w:ascii="宋体"/>
                <w:color w:val="auto"/>
                <w:spacing w:val="-2"/>
                <w:kern w:val="0"/>
                <w:szCs w:val="21"/>
                <w:lang w:val="en-US" w:eastAsia="zh-CN"/>
              </w:rPr>
              <w:t>5</w:t>
            </w:r>
            <w:r>
              <w:rPr>
                <w:rFonts w:hint="eastAsia" w:ascii="宋体"/>
                <w:color w:val="auto"/>
                <w:spacing w:val="-2"/>
                <w:kern w:val="0"/>
                <w:szCs w:val="21"/>
              </w:rPr>
              <w:t>）</w:t>
            </w:r>
            <w:r>
              <w:rPr>
                <w:rFonts w:ascii="宋体"/>
                <w:color w:val="auto"/>
                <w:spacing w:val="-2"/>
                <w:kern w:val="0"/>
                <w:szCs w:val="21"/>
              </w:rPr>
              <w:t>《中国软件行业基准数据报告》（SSM-BK-202</w:t>
            </w:r>
            <w:r>
              <w:rPr>
                <w:rFonts w:hint="eastAsia" w:ascii="宋体"/>
                <w:color w:val="auto"/>
                <w:spacing w:val="-2"/>
                <w:kern w:val="0"/>
                <w:szCs w:val="21"/>
              </w:rPr>
              <w:t>3</w:t>
            </w:r>
            <w:r>
              <w:rPr>
                <w:rFonts w:ascii="宋体"/>
                <w:color w:val="auto"/>
                <w:spacing w:val="-2"/>
                <w:kern w:val="0"/>
                <w:szCs w:val="21"/>
              </w:rPr>
              <w:t>09）</w:t>
            </w:r>
          </w:p>
          <w:p w14:paraId="439AC428">
            <w:pPr>
              <w:tabs>
                <w:tab w:val="left" w:pos="1160"/>
              </w:tabs>
              <w:autoSpaceDE w:val="0"/>
              <w:autoSpaceDN w:val="0"/>
              <w:spacing w:line="240" w:lineRule="auto"/>
              <w:ind w:firstLine="412" w:firstLineChars="200"/>
              <w:jc w:val="left"/>
              <w:rPr>
                <w:rFonts w:ascii="宋体"/>
                <w:color w:val="auto"/>
                <w:szCs w:val="21"/>
              </w:rPr>
            </w:pPr>
            <w:r>
              <w:rPr>
                <w:rFonts w:hint="eastAsia" w:ascii="宋体" w:hAnsi="宋体" w:cs="宋体"/>
                <w:color w:val="auto"/>
                <w:spacing w:val="-2"/>
                <w:kern w:val="0"/>
                <w:szCs w:val="21"/>
              </w:rPr>
              <w:t>（</w:t>
            </w:r>
            <w:r>
              <w:rPr>
                <w:rFonts w:hint="eastAsia" w:ascii="宋体" w:hAnsi="宋体" w:cs="宋体"/>
                <w:color w:val="auto"/>
                <w:spacing w:val="-2"/>
                <w:kern w:val="0"/>
                <w:szCs w:val="21"/>
                <w:lang w:val="en-US" w:eastAsia="zh-CN"/>
              </w:rPr>
              <w:t>6</w:t>
            </w:r>
            <w:r>
              <w:rPr>
                <w:rFonts w:hint="eastAsia" w:ascii="宋体" w:hAnsi="宋体" w:cs="宋体"/>
                <w:color w:val="auto"/>
                <w:spacing w:val="-2"/>
                <w:kern w:val="0"/>
                <w:szCs w:val="21"/>
              </w:rPr>
              <w:t>）一体化交付割接系统需求说明书等评审材料</w:t>
            </w:r>
          </w:p>
          <w:p w14:paraId="4A18A31A">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color w:val="auto"/>
                <w:kern w:val="44"/>
                <w:szCs w:val="21"/>
              </w:rPr>
            </w:pPr>
            <w:r>
              <w:rPr>
                <w:rFonts w:hint="eastAsia" w:ascii="黑体" w:hAnsi="黑体" w:eastAsia="黑体" w:cs="黑体"/>
                <w:bCs/>
                <w:color w:val="auto"/>
                <w:kern w:val="44"/>
                <w:szCs w:val="21"/>
              </w:rPr>
              <w:t>4 度量目的</w:t>
            </w:r>
          </w:p>
          <w:p w14:paraId="22752E0A">
            <w:pPr>
              <w:autoSpaceDE w:val="0"/>
              <w:autoSpaceDN w:val="0"/>
              <w:spacing w:line="240" w:lineRule="auto"/>
              <w:ind w:firstLine="412" w:firstLineChars="200"/>
              <w:jc w:val="left"/>
              <w:rPr>
                <w:rFonts w:ascii="宋体" w:hAnsi="宋体" w:cs="宋体"/>
                <w:spacing w:val="-2"/>
                <w:kern w:val="0"/>
                <w:sz w:val="24"/>
                <w:szCs w:val="22"/>
              </w:rPr>
            </w:pPr>
            <w:r>
              <w:rPr>
                <w:rFonts w:ascii="宋体" w:hAnsi="宋体" w:cs="宋体"/>
                <w:spacing w:val="-2"/>
                <w:kern w:val="0"/>
                <w:szCs w:val="21"/>
              </w:rPr>
              <w:t>本次</w:t>
            </w:r>
            <w:r>
              <w:rPr>
                <w:rFonts w:hint="eastAsia" w:ascii="宋体" w:hAnsi="宋体" w:cs="宋体"/>
                <w:spacing w:val="-2"/>
                <w:kern w:val="0"/>
                <w:szCs w:val="21"/>
              </w:rPr>
              <w:t>度量</w:t>
            </w:r>
            <w:r>
              <w:rPr>
                <w:rFonts w:ascii="宋体" w:hAnsi="宋体" w:cs="宋体"/>
                <w:spacing w:val="-2"/>
                <w:kern w:val="0"/>
                <w:szCs w:val="21"/>
              </w:rPr>
              <w:t>的目的是确定“</w:t>
            </w:r>
            <w:r>
              <w:rPr>
                <w:rFonts w:hint="eastAsia" w:ascii="宋体" w:hAnsi="宋体" w:cs="宋体"/>
                <w:spacing w:val="-2"/>
                <w:kern w:val="0"/>
                <w:szCs w:val="21"/>
              </w:rPr>
              <w:t>一体化交付割接系统</w:t>
            </w:r>
            <w:r>
              <w:rPr>
                <w:rFonts w:ascii="宋体" w:hAnsi="宋体" w:cs="宋体"/>
                <w:spacing w:val="-2"/>
                <w:kern w:val="0"/>
                <w:szCs w:val="21"/>
              </w:rPr>
              <w:t>” 客观的功能点规模</w:t>
            </w:r>
            <w:r>
              <w:rPr>
                <w:rFonts w:hint="eastAsia" w:ascii="宋体" w:hAnsi="宋体" w:cs="宋体"/>
                <w:spacing w:val="-2"/>
                <w:kern w:val="0"/>
                <w:szCs w:val="21"/>
              </w:rPr>
              <w:t>、</w:t>
            </w:r>
            <w:r>
              <w:rPr>
                <w:rFonts w:ascii="宋体" w:hAnsi="宋体" w:cs="宋体"/>
                <w:spacing w:val="-2"/>
                <w:kern w:val="0"/>
                <w:szCs w:val="21"/>
              </w:rPr>
              <w:t>工作量</w:t>
            </w:r>
            <w:r>
              <w:rPr>
                <w:rFonts w:hint="eastAsia" w:ascii="宋体" w:hAnsi="宋体" w:cs="宋体"/>
                <w:spacing w:val="-2"/>
                <w:kern w:val="0"/>
                <w:szCs w:val="21"/>
              </w:rPr>
              <w:t>、开发成本</w:t>
            </w:r>
            <w:r>
              <w:rPr>
                <w:rFonts w:ascii="宋体" w:hAnsi="宋体" w:cs="宋体"/>
                <w:spacing w:val="-2"/>
                <w:kern w:val="0"/>
                <w:szCs w:val="21"/>
              </w:rPr>
              <w:t>，为</w:t>
            </w:r>
            <w:r>
              <w:rPr>
                <w:rFonts w:hint="eastAsia" w:ascii="宋体" w:hAnsi="宋体" w:cs="宋体"/>
                <w:spacing w:val="-2"/>
                <w:kern w:val="0"/>
                <w:szCs w:val="21"/>
              </w:rPr>
              <w:t>委托方与开发方之间的</w:t>
            </w:r>
            <w:r>
              <w:rPr>
                <w:rFonts w:ascii="宋体" w:hAnsi="宋体" w:cs="宋体"/>
                <w:spacing w:val="-2"/>
                <w:kern w:val="0"/>
                <w:szCs w:val="21"/>
              </w:rPr>
              <w:t>结算</w:t>
            </w:r>
            <w:r>
              <w:rPr>
                <w:rFonts w:hint="eastAsia" w:ascii="宋体" w:hAnsi="宋体" w:cs="宋体"/>
                <w:spacing w:val="-2"/>
                <w:kern w:val="0"/>
                <w:szCs w:val="21"/>
              </w:rPr>
              <w:t>提供</w:t>
            </w:r>
            <w:r>
              <w:rPr>
                <w:rFonts w:ascii="宋体" w:hAnsi="宋体" w:cs="宋体"/>
                <w:spacing w:val="-2"/>
                <w:kern w:val="0"/>
                <w:szCs w:val="21"/>
              </w:rPr>
              <w:t>参考依据。</w:t>
            </w:r>
            <w:r>
              <w:rPr>
                <w:rFonts w:ascii="宋体" w:hAnsi="宋体" w:cs="宋体"/>
                <w:spacing w:val="80"/>
                <w:w w:val="150"/>
                <w:kern w:val="0"/>
                <w:szCs w:val="21"/>
              </w:rPr>
              <w:t xml:space="preserve"> </w:t>
            </w:r>
            <w:r>
              <w:rPr>
                <w:rFonts w:ascii="宋体" w:hAnsi="宋体" w:cs="宋体"/>
                <w:spacing w:val="80"/>
                <w:w w:val="150"/>
                <w:kern w:val="0"/>
                <w:sz w:val="24"/>
              </w:rPr>
              <w:t xml:space="preserve">     </w:t>
            </w:r>
          </w:p>
          <w:p w14:paraId="70C25DDA">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5 度量结论</w:t>
            </w:r>
          </w:p>
          <w:p w14:paraId="6C472D9C">
            <w:pPr>
              <w:autoSpaceDE w:val="0"/>
              <w:autoSpaceDN w:val="0"/>
              <w:spacing w:line="240" w:lineRule="auto"/>
              <w:ind w:firstLine="412" w:firstLineChars="200"/>
              <w:jc w:val="left"/>
              <w:rPr>
                <w:rFonts w:hint="eastAsia" w:ascii="黑体" w:hAnsi="黑体" w:eastAsia="黑体" w:cs="黑体"/>
                <w:szCs w:val="18"/>
              </w:rPr>
            </w:pPr>
            <w:r>
              <w:rPr>
                <w:rFonts w:ascii="宋体" w:hAnsi="宋体" w:cs="宋体"/>
                <w:spacing w:val="-2"/>
                <w:kern w:val="0"/>
                <w:szCs w:val="21"/>
              </w:rPr>
              <w:t>本次</w:t>
            </w:r>
            <w:r>
              <w:rPr>
                <w:rFonts w:hint="eastAsia" w:ascii="宋体" w:hAnsi="宋体" w:cs="宋体"/>
                <w:spacing w:val="-2"/>
                <w:kern w:val="0"/>
                <w:szCs w:val="21"/>
              </w:rPr>
              <w:t>度量</w:t>
            </w:r>
            <w:r>
              <w:rPr>
                <w:rFonts w:ascii="宋体" w:hAnsi="宋体" w:cs="宋体"/>
                <w:spacing w:val="-2"/>
                <w:kern w:val="0"/>
                <w:szCs w:val="21"/>
              </w:rPr>
              <w:t>结果如下：</w:t>
            </w:r>
          </w:p>
          <w:p w14:paraId="0E990325">
            <w:pPr>
              <w:pStyle w:val="142"/>
              <w:keepNext w:val="0"/>
              <w:keepLines w:val="0"/>
              <w:pageBreakBefore w:val="0"/>
              <w:widowControl/>
              <w:kinsoku/>
              <w:wordWrap/>
              <w:overflowPunct/>
              <w:topLinePunct w:val="0"/>
              <w:autoSpaceDE w:val="0"/>
              <w:autoSpaceDN w:val="0"/>
              <w:bidi w:val="0"/>
              <w:adjustRightInd/>
              <w:snapToGrid/>
              <w:spacing w:line="240" w:lineRule="auto"/>
              <w:ind w:firstLine="0" w:firstLineChars="0"/>
              <w:jc w:val="center"/>
              <w:textAlignment w:val="auto"/>
              <w:rPr>
                <w:rFonts w:ascii="黑体" w:hAnsi="黑体" w:eastAsia="黑体" w:cs="黑体"/>
                <w:szCs w:val="18"/>
              </w:rPr>
            </w:pPr>
            <w:r>
              <w:rPr>
                <w:rFonts w:hint="eastAsia" w:ascii="黑体" w:hAnsi="黑体" w:eastAsia="黑体" w:cs="黑体"/>
                <w:szCs w:val="18"/>
              </w:rPr>
              <w:t>表5.1 度量结果表</w:t>
            </w:r>
          </w:p>
          <w:tbl>
            <w:tblPr>
              <w:tblStyle w:val="34"/>
              <w:tblW w:w="91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9"/>
              <w:gridCol w:w="940"/>
              <w:gridCol w:w="913"/>
              <w:gridCol w:w="1014"/>
              <w:gridCol w:w="1014"/>
              <w:gridCol w:w="1014"/>
              <w:gridCol w:w="1014"/>
              <w:gridCol w:w="1015"/>
              <w:gridCol w:w="1015"/>
            </w:tblGrid>
            <w:tr w14:paraId="3F028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89" w:type="dxa"/>
                  <w:vMerge w:val="restart"/>
                  <w:vAlign w:val="center"/>
                </w:tcPr>
                <w:p w14:paraId="1E5210F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功能</w:t>
                  </w:r>
                </w:p>
                <w:p w14:paraId="5C3B68F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模块</w:t>
                  </w:r>
                </w:p>
              </w:tc>
              <w:tc>
                <w:tcPr>
                  <w:tcW w:w="940" w:type="dxa"/>
                  <w:vMerge w:val="restart"/>
                  <w:vAlign w:val="center"/>
                </w:tcPr>
                <w:p w14:paraId="561FCC1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功能</w:t>
                  </w:r>
                  <w:r>
                    <w:rPr>
                      <w:rFonts w:ascii="宋体"/>
                      <w:kern w:val="0"/>
                      <w:sz w:val="21"/>
                      <w:szCs w:val="21"/>
                      <w:lang w:bidi="ar"/>
                    </w:rPr>
                    <w:br w:type="textWrapping"/>
                  </w:r>
                  <w:r>
                    <w:rPr>
                      <w:rFonts w:ascii="宋体"/>
                      <w:kern w:val="0"/>
                      <w:sz w:val="21"/>
                      <w:szCs w:val="21"/>
                      <w:lang w:bidi="ar"/>
                    </w:rPr>
                    <w:t>类型</w:t>
                  </w:r>
                </w:p>
              </w:tc>
              <w:tc>
                <w:tcPr>
                  <w:tcW w:w="913" w:type="dxa"/>
                  <w:vMerge w:val="restart"/>
                  <w:vAlign w:val="center"/>
                </w:tcPr>
                <w:p w14:paraId="7C068D5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基准功能点数</w:t>
                  </w:r>
                </w:p>
              </w:tc>
              <w:tc>
                <w:tcPr>
                  <w:tcW w:w="3042" w:type="dxa"/>
                  <w:gridSpan w:val="3"/>
                  <w:vAlign w:val="center"/>
                </w:tcPr>
                <w:p w14:paraId="2DB2073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核定工作量（单位：人天）</w:t>
                  </w:r>
                </w:p>
              </w:tc>
              <w:tc>
                <w:tcPr>
                  <w:tcW w:w="3044" w:type="dxa"/>
                  <w:gridSpan w:val="3"/>
                  <w:vAlign w:val="center"/>
                </w:tcPr>
                <w:p w14:paraId="66D7517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核定投资（单位：万元）</w:t>
                  </w:r>
                </w:p>
              </w:tc>
            </w:tr>
            <w:tr w14:paraId="37669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89" w:type="dxa"/>
                  <w:vMerge w:val="continue"/>
                  <w:vAlign w:val="center"/>
                </w:tcPr>
                <w:p w14:paraId="05FCB6B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940" w:type="dxa"/>
                  <w:vMerge w:val="continue"/>
                  <w:vAlign w:val="center"/>
                </w:tcPr>
                <w:p w14:paraId="0FDE2DB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913" w:type="dxa"/>
                  <w:vMerge w:val="continue"/>
                  <w:vAlign w:val="center"/>
                </w:tcPr>
                <w:p w14:paraId="237BC03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p>
              </w:tc>
              <w:tc>
                <w:tcPr>
                  <w:tcW w:w="1014" w:type="dxa"/>
                  <w:vAlign w:val="center"/>
                </w:tcPr>
                <w:p w14:paraId="0003AC8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下限</w:t>
                  </w:r>
                </w:p>
              </w:tc>
              <w:tc>
                <w:tcPr>
                  <w:tcW w:w="1014" w:type="dxa"/>
                  <w:vAlign w:val="center"/>
                </w:tcPr>
                <w:p w14:paraId="3902360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基准</w:t>
                  </w:r>
                </w:p>
              </w:tc>
              <w:tc>
                <w:tcPr>
                  <w:tcW w:w="1014" w:type="dxa"/>
                  <w:vAlign w:val="center"/>
                </w:tcPr>
                <w:p w14:paraId="7D11CA7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上限</w:t>
                  </w:r>
                </w:p>
              </w:tc>
              <w:tc>
                <w:tcPr>
                  <w:tcW w:w="1014" w:type="dxa"/>
                  <w:vAlign w:val="center"/>
                </w:tcPr>
                <w:p w14:paraId="35F0B86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下限</w:t>
                  </w:r>
                </w:p>
              </w:tc>
              <w:tc>
                <w:tcPr>
                  <w:tcW w:w="1015" w:type="dxa"/>
                  <w:vAlign w:val="center"/>
                </w:tcPr>
                <w:p w14:paraId="7B45F69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基准</w:t>
                  </w:r>
                </w:p>
              </w:tc>
              <w:tc>
                <w:tcPr>
                  <w:tcW w:w="1015" w:type="dxa"/>
                  <w:vAlign w:val="center"/>
                </w:tcPr>
                <w:p w14:paraId="0AF46EB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ascii="宋体"/>
                      <w:kern w:val="0"/>
                      <w:sz w:val="21"/>
                      <w:szCs w:val="21"/>
                      <w:lang w:bidi="ar"/>
                    </w:rPr>
                    <w:t>上限</w:t>
                  </w:r>
                </w:p>
              </w:tc>
            </w:tr>
            <w:tr w14:paraId="09DF5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89" w:type="dxa"/>
                  <w:vAlign w:val="center"/>
                </w:tcPr>
                <w:p w14:paraId="27F34B2C">
                  <w:pPr>
                    <w:pStyle w:val="32"/>
                    <w:keepNext w:val="0"/>
                    <w:keepLines w:val="0"/>
                    <w:pageBreakBefore w:val="0"/>
                    <w:widowControl/>
                    <w:kinsoku/>
                    <w:wordWrap/>
                    <w:overflowPunct/>
                    <w:topLinePunct w:val="0"/>
                    <w:autoSpaceDE/>
                    <w:autoSpaceDN/>
                    <w:bidi w:val="0"/>
                    <w:adjustRightInd/>
                    <w:snapToGrid/>
                    <w:spacing w:after="0" w:line="240" w:lineRule="auto"/>
                    <w:ind w:firstLine="0" w:firstLineChars="0"/>
                    <w:jc w:val="center"/>
                    <w:rPr>
                      <w:rFonts w:ascii="宋体"/>
                      <w:sz w:val="21"/>
                      <w:szCs w:val="21"/>
                    </w:rPr>
                  </w:pPr>
                  <w:r>
                    <w:rPr>
                      <w:rFonts w:hint="eastAsia" w:ascii="宋体"/>
                      <w:sz w:val="21"/>
                      <w:szCs w:val="21"/>
                    </w:rPr>
                    <w:t>交付活动与割接过程管理</w:t>
                  </w:r>
                </w:p>
              </w:tc>
              <w:tc>
                <w:tcPr>
                  <w:tcW w:w="940" w:type="dxa"/>
                  <w:vAlign w:val="center"/>
                </w:tcPr>
                <w:p w14:paraId="336EFE68">
                  <w:pPr>
                    <w:pStyle w:val="32"/>
                    <w:keepNext w:val="0"/>
                    <w:keepLines w:val="0"/>
                    <w:pageBreakBefore w:val="0"/>
                    <w:widowControl/>
                    <w:kinsoku/>
                    <w:wordWrap/>
                    <w:overflowPunct/>
                    <w:topLinePunct w:val="0"/>
                    <w:autoSpaceDE/>
                    <w:autoSpaceDN/>
                    <w:bidi w:val="0"/>
                    <w:adjustRightInd/>
                    <w:snapToGrid/>
                    <w:spacing w:after="0" w:line="240" w:lineRule="auto"/>
                    <w:ind w:firstLine="0" w:firstLineChars="0"/>
                    <w:jc w:val="center"/>
                    <w:rPr>
                      <w:rFonts w:ascii="宋体"/>
                      <w:kern w:val="0"/>
                      <w:sz w:val="21"/>
                      <w:szCs w:val="21"/>
                      <w:lang w:bidi="ar"/>
                    </w:rPr>
                  </w:pPr>
                  <w:r>
                    <w:rPr>
                      <w:rFonts w:ascii="宋体"/>
                      <w:kern w:val="0"/>
                      <w:sz w:val="21"/>
                      <w:szCs w:val="21"/>
                      <w:lang w:bidi="ar"/>
                    </w:rPr>
                    <w:t>功能</w:t>
                  </w:r>
                  <w:r>
                    <w:rPr>
                      <w:rFonts w:ascii="宋体"/>
                      <w:kern w:val="0"/>
                      <w:sz w:val="21"/>
                      <w:szCs w:val="21"/>
                      <w:lang w:bidi="ar"/>
                    </w:rPr>
                    <w:br w:type="textWrapping"/>
                  </w:r>
                  <w:r>
                    <w:rPr>
                      <w:rFonts w:ascii="宋体"/>
                      <w:kern w:val="0"/>
                      <w:sz w:val="21"/>
                      <w:szCs w:val="21"/>
                      <w:lang w:bidi="ar"/>
                    </w:rPr>
                    <w:t>需求</w:t>
                  </w:r>
                </w:p>
              </w:tc>
              <w:tc>
                <w:tcPr>
                  <w:tcW w:w="913" w:type="dxa"/>
                  <w:vAlign w:val="center"/>
                </w:tcPr>
                <w:p w14:paraId="32DD580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kern w:val="0"/>
                      <w:sz w:val="21"/>
                      <w:szCs w:val="21"/>
                      <w:lang w:bidi="ar"/>
                    </w:rPr>
                    <w:t>20</w:t>
                  </w:r>
                </w:p>
              </w:tc>
              <w:tc>
                <w:tcPr>
                  <w:tcW w:w="1014" w:type="dxa"/>
                  <w:vAlign w:val="center"/>
                </w:tcPr>
                <w:p w14:paraId="13F1ADF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kern w:val="0"/>
                      <w:sz w:val="21"/>
                      <w:szCs w:val="21"/>
                      <w:lang w:bidi="ar"/>
                    </w:rPr>
                    <w:t>29.0985</w:t>
                  </w:r>
                </w:p>
              </w:tc>
              <w:tc>
                <w:tcPr>
                  <w:tcW w:w="1014" w:type="dxa"/>
                  <w:vAlign w:val="center"/>
                </w:tcPr>
                <w:p w14:paraId="0371C68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kern w:val="0"/>
                      <w:sz w:val="21"/>
                      <w:szCs w:val="21"/>
                      <w:lang w:bidi="ar"/>
                    </w:rPr>
                    <w:t>30.6300</w:t>
                  </w:r>
                </w:p>
              </w:tc>
              <w:tc>
                <w:tcPr>
                  <w:tcW w:w="1014" w:type="dxa"/>
                  <w:vAlign w:val="center"/>
                </w:tcPr>
                <w:p w14:paraId="3C84F6B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sz w:val="21"/>
                      <w:szCs w:val="21"/>
                    </w:rPr>
                    <w:t>32.1615</w:t>
                  </w:r>
                </w:p>
              </w:tc>
              <w:tc>
                <w:tcPr>
                  <w:tcW w:w="1014" w:type="dxa"/>
                  <w:vAlign w:val="center"/>
                </w:tcPr>
                <w:p w14:paraId="1940FCD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kern w:val="0"/>
                      <w:sz w:val="21"/>
                      <w:szCs w:val="21"/>
                      <w:lang w:bidi="ar"/>
                    </w:rPr>
                    <w:t>2.9099</w:t>
                  </w:r>
                </w:p>
              </w:tc>
              <w:tc>
                <w:tcPr>
                  <w:tcW w:w="1015" w:type="dxa"/>
                  <w:vAlign w:val="center"/>
                </w:tcPr>
                <w:p w14:paraId="665001A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kern w:val="0"/>
                      <w:sz w:val="21"/>
                      <w:szCs w:val="21"/>
                      <w:lang w:bidi="ar"/>
                    </w:rPr>
                    <w:t>3.0630</w:t>
                  </w:r>
                </w:p>
              </w:tc>
              <w:tc>
                <w:tcPr>
                  <w:tcW w:w="1015" w:type="dxa"/>
                  <w:vAlign w:val="center"/>
                </w:tcPr>
                <w:p w14:paraId="5EE0366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sz w:val="21"/>
                      <w:szCs w:val="21"/>
                    </w:rPr>
                    <w:t>3.2162</w:t>
                  </w:r>
                </w:p>
              </w:tc>
            </w:tr>
            <w:tr w14:paraId="0E8C4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89" w:type="dxa"/>
                  <w:vAlign w:val="center"/>
                </w:tcPr>
                <w:p w14:paraId="2DCCF39D">
                  <w:pPr>
                    <w:pStyle w:val="32"/>
                    <w:keepNext w:val="0"/>
                    <w:keepLines w:val="0"/>
                    <w:pageBreakBefore w:val="0"/>
                    <w:widowControl/>
                    <w:kinsoku/>
                    <w:wordWrap/>
                    <w:overflowPunct/>
                    <w:topLinePunct w:val="0"/>
                    <w:autoSpaceDE/>
                    <w:autoSpaceDN/>
                    <w:bidi w:val="0"/>
                    <w:adjustRightInd/>
                    <w:snapToGrid/>
                    <w:spacing w:after="0" w:line="240" w:lineRule="auto"/>
                    <w:ind w:firstLine="0" w:firstLineChars="0"/>
                    <w:jc w:val="center"/>
                    <w:rPr>
                      <w:rFonts w:ascii="宋体"/>
                      <w:sz w:val="21"/>
                      <w:szCs w:val="21"/>
                    </w:rPr>
                  </w:pPr>
                  <w:r>
                    <w:rPr>
                      <w:rFonts w:ascii="宋体"/>
                      <w:kern w:val="0"/>
                      <w:sz w:val="21"/>
                      <w:szCs w:val="21"/>
                      <w:lang w:bidi="ar"/>
                    </w:rPr>
                    <w:t>合计</w:t>
                  </w:r>
                </w:p>
              </w:tc>
              <w:tc>
                <w:tcPr>
                  <w:tcW w:w="940" w:type="dxa"/>
                  <w:vAlign w:val="center"/>
                </w:tcPr>
                <w:p w14:paraId="3F157FB8">
                  <w:pPr>
                    <w:pStyle w:val="32"/>
                    <w:keepNext w:val="0"/>
                    <w:keepLines w:val="0"/>
                    <w:pageBreakBefore w:val="0"/>
                    <w:widowControl/>
                    <w:kinsoku/>
                    <w:wordWrap/>
                    <w:overflowPunct/>
                    <w:topLinePunct w:val="0"/>
                    <w:autoSpaceDE/>
                    <w:autoSpaceDN/>
                    <w:bidi w:val="0"/>
                    <w:adjustRightInd/>
                    <w:snapToGrid/>
                    <w:spacing w:after="0" w:line="240" w:lineRule="auto"/>
                    <w:ind w:firstLine="210"/>
                    <w:jc w:val="center"/>
                    <w:rPr>
                      <w:rFonts w:ascii="宋体"/>
                      <w:kern w:val="0"/>
                      <w:sz w:val="21"/>
                      <w:szCs w:val="21"/>
                      <w:lang w:bidi="ar"/>
                    </w:rPr>
                  </w:pPr>
                </w:p>
              </w:tc>
              <w:tc>
                <w:tcPr>
                  <w:tcW w:w="913" w:type="dxa"/>
                  <w:vAlign w:val="center"/>
                </w:tcPr>
                <w:p w14:paraId="6897997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kern w:val="0"/>
                      <w:sz w:val="21"/>
                      <w:szCs w:val="21"/>
                      <w:lang w:bidi="ar"/>
                    </w:rPr>
                    <w:t>20</w:t>
                  </w:r>
                </w:p>
              </w:tc>
              <w:tc>
                <w:tcPr>
                  <w:tcW w:w="1014" w:type="dxa"/>
                  <w:vAlign w:val="center"/>
                </w:tcPr>
                <w:p w14:paraId="04A512E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kern w:val="0"/>
                      <w:sz w:val="21"/>
                      <w:szCs w:val="21"/>
                      <w:lang w:bidi="ar"/>
                    </w:rPr>
                    <w:t>29.0985</w:t>
                  </w:r>
                </w:p>
              </w:tc>
              <w:tc>
                <w:tcPr>
                  <w:tcW w:w="1014" w:type="dxa"/>
                  <w:vAlign w:val="center"/>
                </w:tcPr>
                <w:p w14:paraId="2CE15B5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kern w:val="0"/>
                      <w:sz w:val="21"/>
                      <w:szCs w:val="21"/>
                      <w:lang w:bidi="ar"/>
                    </w:rPr>
                    <w:t>30.6300</w:t>
                  </w:r>
                </w:p>
              </w:tc>
              <w:tc>
                <w:tcPr>
                  <w:tcW w:w="1014" w:type="dxa"/>
                  <w:vAlign w:val="center"/>
                </w:tcPr>
                <w:p w14:paraId="22F8C37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sz w:val="21"/>
                      <w:szCs w:val="21"/>
                    </w:rPr>
                    <w:t>32.1615</w:t>
                  </w:r>
                </w:p>
              </w:tc>
              <w:tc>
                <w:tcPr>
                  <w:tcW w:w="1014" w:type="dxa"/>
                  <w:vAlign w:val="center"/>
                </w:tcPr>
                <w:p w14:paraId="5F8CD59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kern w:val="0"/>
                      <w:sz w:val="21"/>
                      <w:szCs w:val="21"/>
                      <w:lang w:bidi="ar"/>
                    </w:rPr>
                    <w:t>2.9099</w:t>
                  </w:r>
                </w:p>
              </w:tc>
              <w:tc>
                <w:tcPr>
                  <w:tcW w:w="1015" w:type="dxa"/>
                  <w:vAlign w:val="center"/>
                </w:tcPr>
                <w:p w14:paraId="523A25C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kern w:val="0"/>
                      <w:sz w:val="21"/>
                      <w:szCs w:val="21"/>
                      <w:lang w:bidi="ar"/>
                    </w:rPr>
                    <w:t>3.0630</w:t>
                  </w:r>
                </w:p>
              </w:tc>
              <w:tc>
                <w:tcPr>
                  <w:tcW w:w="1015" w:type="dxa"/>
                  <w:vAlign w:val="center"/>
                </w:tcPr>
                <w:p w14:paraId="147694B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ascii="宋体"/>
                      <w:kern w:val="0"/>
                      <w:sz w:val="21"/>
                      <w:szCs w:val="21"/>
                      <w:lang w:bidi="ar"/>
                    </w:rPr>
                  </w:pPr>
                  <w:r>
                    <w:rPr>
                      <w:rFonts w:hint="eastAsia" w:ascii="宋体" w:cs="宋体"/>
                      <w:sz w:val="21"/>
                      <w:szCs w:val="21"/>
                    </w:rPr>
                    <w:t>3.2162</w:t>
                  </w:r>
                </w:p>
              </w:tc>
            </w:tr>
          </w:tbl>
          <w:p w14:paraId="2059CA6C">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6 度量过程</w:t>
            </w:r>
          </w:p>
          <w:p w14:paraId="373C2610">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jc w:val="left"/>
              <w:textAlignment w:val="auto"/>
              <w:outlineLvl w:val="0"/>
              <w:rPr>
                <w:rFonts w:hint="eastAsia" w:asciiTheme="minorEastAsia" w:hAnsiTheme="minorEastAsia" w:eastAsiaTheme="minorEastAsia" w:cstheme="minorEastAsia"/>
                <w:b w:val="0"/>
                <w:bCs w:val="0"/>
                <w:sz w:val="21"/>
                <w:szCs w:val="21"/>
              </w:rPr>
            </w:pPr>
            <w:bookmarkStart w:id="98" w:name="_Toc22181"/>
            <w:r>
              <w:rPr>
                <w:rFonts w:hint="eastAsia" w:asciiTheme="minorEastAsia" w:hAnsiTheme="minorEastAsia" w:eastAsiaTheme="minorEastAsia" w:cstheme="minorEastAsia"/>
                <w:b w:val="0"/>
                <w:bCs w:val="0"/>
                <w:sz w:val="21"/>
                <w:szCs w:val="21"/>
              </w:rPr>
              <w:t>6.1</w:t>
            </w:r>
            <w:bookmarkEnd w:id="98"/>
            <w:r>
              <w:rPr>
                <w:rFonts w:hint="eastAsia" w:asciiTheme="minorEastAsia" w:hAnsiTheme="minorEastAsia" w:eastAsiaTheme="minorEastAsia" w:cstheme="minorEastAsia"/>
                <w:b w:val="0"/>
                <w:bCs w:val="0"/>
                <w:sz w:val="21"/>
                <w:szCs w:val="21"/>
              </w:rPr>
              <w:t xml:space="preserve"> 评估方法介绍</w:t>
            </w:r>
          </w:p>
          <w:p w14:paraId="6796D3BA">
            <w:pPr>
              <w:keepNext w:val="0"/>
              <w:keepLines w:val="0"/>
              <w:pageBreakBefore w:val="0"/>
              <w:widowControl w:val="0"/>
              <w:kinsoku/>
              <w:wordWrap/>
              <w:overflowPunct/>
              <w:topLinePunct w:val="0"/>
              <w:autoSpaceDE w:val="0"/>
              <w:autoSpaceDN w:val="0"/>
              <w:bidi w:val="0"/>
              <w:adjustRightInd/>
              <w:snapToGrid/>
              <w:spacing w:line="240" w:lineRule="auto"/>
              <w:ind w:firstLine="420" w:firstLineChars="200"/>
              <w:jc w:val="left"/>
              <w:textAlignment w:val="auto"/>
              <w:outlineLvl w:val="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COSMIC度量方法用“数据移动”的数量来表示整个系统的功能规模大小，它的度量对象为待度量软件的功能用户需求（Functional User requirements，简称FUR）。一个数据移动指的是一个数据组的交换，即移动单个数据组，而一个数据组是由唯一的一组数据属性构成。</w:t>
            </w:r>
          </w:p>
          <w:p w14:paraId="24C15064">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jc w:val="left"/>
              <w:textAlignment w:val="auto"/>
              <w:outlineLvl w:val="0"/>
              <w:rPr>
                <w:rFonts w:hint="eastAsia" w:asciiTheme="minorEastAsia" w:hAnsiTheme="minorEastAsia" w:eastAsiaTheme="minorEastAsia" w:cstheme="minorEastAsia"/>
                <w:b w:val="0"/>
                <w:bCs w:val="0"/>
                <w:sz w:val="21"/>
                <w:szCs w:val="21"/>
              </w:rPr>
            </w:pPr>
            <w:bookmarkStart w:id="99" w:name="_Toc10169"/>
            <w:r>
              <w:rPr>
                <w:rFonts w:hint="eastAsia" w:asciiTheme="minorEastAsia" w:hAnsiTheme="minorEastAsia" w:eastAsiaTheme="minorEastAsia" w:cstheme="minorEastAsia"/>
                <w:b w:val="0"/>
                <w:bCs w:val="0"/>
                <w:sz w:val="21"/>
                <w:szCs w:val="21"/>
              </w:rPr>
              <w:t>6.2 规模度量</w:t>
            </w:r>
            <w:bookmarkEnd w:id="99"/>
          </w:p>
          <w:p w14:paraId="2024D04C">
            <w:pPr>
              <w:autoSpaceDE w:val="0"/>
              <w:autoSpaceDN w:val="0"/>
              <w:spacing w:line="240" w:lineRule="auto"/>
              <w:ind w:firstLine="412" w:firstLineChars="200"/>
              <w:jc w:val="left"/>
              <w:rPr>
                <w:rFonts w:hint="eastAsia" w:asciiTheme="minorEastAsia" w:hAnsiTheme="minorEastAsia" w:eastAsiaTheme="minorEastAsia" w:cstheme="minorEastAsia"/>
                <w:b w:val="0"/>
                <w:bCs w:val="0"/>
                <w:i/>
                <w:iCs/>
                <w:spacing w:val="-2"/>
                <w:kern w:val="0"/>
                <w:sz w:val="21"/>
                <w:szCs w:val="21"/>
              </w:rPr>
            </w:pPr>
            <w:r>
              <w:rPr>
                <w:rFonts w:hint="eastAsia" w:asciiTheme="minorEastAsia" w:hAnsiTheme="minorEastAsia" w:eastAsiaTheme="minorEastAsia" w:cstheme="minorEastAsia"/>
                <w:b w:val="0"/>
                <w:bCs w:val="0"/>
                <w:spacing w:val="-2"/>
                <w:kern w:val="0"/>
                <w:sz w:val="21"/>
                <w:szCs w:val="21"/>
              </w:rPr>
              <w:t>功能规模的详细度量结果，包括规模度量结果汇总表、COSMIC功能点度量表等，度量结果如下：</w:t>
            </w:r>
          </w:p>
          <w:p w14:paraId="3E8AF1C9">
            <w:pPr>
              <w:pStyle w:val="142"/>
              <w:spacing w:before="156" w:beforeLines="50" w:after="156" w:afterLines="50" w:line="240" w:lineRule="auto"/>
              <w:ind w:firstLine="0" w:firstLineChars="0"/>
              <w:jc w:val="center"/>
              <w:rPr>
                <w:rFonts w:hint="eastAsia" w:ascii="黑体" w:hAnsi="黑体" w:eastAsia="黑体" w:cs="黑体"/>
                <w:szCs w:val="18"/>
              </w:rPr>
            </w:pPr>
            <w:r>
              <w:rPr>
                <w:rFonts w:hint="eastAsia" w:ascii="黑体" w:hAnsi="黑体" w:eastAsia="黑体" w:cs="黑体"/>
                <w:szCs w:val="18"/>
              </w:rPr>
              <w:t>表6.1 功能规模度量结果表</w:t>
            </w:r>
          </w:p>
          <w:tbl>
            <w:tblPr>
              <w:tblStyle w:val="34"/>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89"/>
              <w:gridCol w:w="2347"/>
              <w:gridCol w:w="3989"/>
            </w:tblGrid>
            <w:tr w14:paraId="1D923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528" w:type="pct"/>
                  <w:vAlign w:val="center"/>
                </w:tcPr>
                <w:p w14:paraId="4D540D60">
                  <w:pPr>
                    <w:widowControl/>
                    <w:spacing w:line="240" w:lineRule="auto"/>
                    <w:jc w:val="center"/>
                    <w:textAlignment w:val="center"/>
                    <w:rPr>
                      <w:rFonts w:hint="eastAsia" w:asciiTheme="minorEastAsia" w:hAnsiTheme="minorEastAsia" w:eastAsiaTheme="minorEastAsia" w:cstheme="minorEastAsia"/>
                      <w:b w:val="0"/>
                      <w:bCs w:val="0"/>
                      <w:kern w:val="0"/>
                      <w:sz w:val="21"/>
                      <w:szCs w:val="21"/>
                      <w:lang w:bidi="ar"/>
                    </w:rPr>
                  </w:pPr>
                  <w:r>
                    <w:rPr>
                      <w:rFonts w:hint="eastAsia" w:asciiTheme="minorEastAsia" w:hAnsiTheme="minorEastAsia" w:eastAsiaTheme="minorEastAsia" w:cstheme="minorEastAsia"/>
                      <w:b w:val="0"/>
                      <w:bCs w:val="0"/>
                      <w:kern w:val="0"/>
                      <w:sz w:val="21"/>
                      <w:szCs w:val="21"/>
                      <w:lang w:bidi="ar"/>
                    </w:rPr>
                    <w:t>功能模块</w:t>
                  </w:r>
                </w:p>
              </w:tc>
              <w:tc>
                <w:tcPr>
                  <w:tcW w:w="1286" w:type="pct"/>
                  <w:vAlign w:val="center"/>
                </w:tcPr>
                <w:p w14:paraId="20F65595">
                  <w:pPr>
                    <w:widowControl/>
                    <w:spacing w:line="240" w:lineRule="auto"/>
                    <w:jc w:val="center"/>
                    <w:textAlignment w:val="center"/>
                    <w:rPr>
                      <w:rFonts w:hint="eastAsia" w:asciiTheme="minorEastAsia" w:hAnsiTheme="minorEastAsia" w:eastAsiaTheme="minorEastAsia" w:cstheme="minorEastAsia"/>
                      <w:b w:val="0"/>
                      <w:bCs w:val="0"/>
                      <w:kern w:val="0"/>
                      <w:sz w:val="21"/>
                      <w:szCs w:val="21"/>
                      <w:lang w:bidi="ar"/>
                    </w:rPr>
                  </w:pPr>
                  <w:r>
                    <w:rPr>
                      <w:rFonts w:hint="eastAsia" w:asciiTheme="minorEastAsia" w:hAnsiTheme="minorEastAsia" w:eastAsiaTheme="minorEastAsia" w:cstheme="minorEastAsia"/>
                      <w:b w:val="0"/>
                      <w:bCs w:val="0"/>
                      <w:kern w:val="0"/>
                      <w:sz w:val="21"/>
                      <w:szCs w:val="21"/>
                      <w:lang w:bidi="ar"/>
                    </w:rPr>
                    <w:t>功能类型</w:t>
                  </w:r>
                </w:p>
              </w:tc>
              <w:tc>
                <w:tcPr>
                  <w:tcW w:w="2185" w:type="pct"/>
                  <w:vAlign w:val="center"/>
                </w:tcPr>
                <w:p w14:paraId="38EA3664">
                  <w:pPr>
                    <w:widowControl/>
                    <w:spacing w:line="240" w:lineRule="auto"/>
                    <w:jc w:val="center"/>
                    <w:textAlignment w:val="center"/>
                    <w:rPr>
                      <w:rFonts w:hint="eastAsia" w:asciiTheme="minorEastAsia" w:hAnsiTheme="minorEastAsia" w:eastAsiaTheme="minorEastAsia" w:cstheme="minorEastAsia"/>
                      <w:b w:val="0"/>
                      <w:bCs w:val="0"/>
                      <w:kern w:val="0"/>
                      <w:sz w:val="21"/>
                      <w:szCs w:val="21"/>
                      <w:lang w:bidi="ar"/>
                    </w:rPr>
                  </w:pPr>
                  <w:r>
                    <w:rPr>
                      <w:rFonts w:hint="eastAsia" w:asciiTheme="minorEastAsia" w:hAnsiTheme="minorEastAsia" w:eastAsiaTheme="minorEastAsia" w:cstheme="minorEastAsia"/>
                      <w:b w:val="0"/>
                      <w:bCs w:val="0"/>
                      <w:kern w:val="0"/>
                      <w:sz w:val="21"/>
                      <w:szCs w:val="21"/>
                      <w:lang w:bidi="ar"/>
                    </w:rPr>
                    <w:t>基准功能点数（单位：CFP）</w:t>
                  </w:r>
                </w:p>
              </w:tc>
            </w:tr>
            <w:tr w14:paraId="4C249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528" w:type="pct"/>
                </w:tcPr>
                <w:p w14:paraId="29AA2F69">
                  <w:pPr>
                    <w:pStyle w:val="32"/>
                    <w:spacing w:after="0" w:line="240" w:lineRule="auto"/>
                    <w:ind w:firstLine="21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交付活动与割接过程管理</w:t>
                  </w:r>
                </w:p>
              </w:tc>
              <w:tc>
                <w:tcPr>
                  <w:tcW w:w="1286" w:type="pct"/>
                  <w:vAlign w:val="center"/>
                </w:tcPr>
                <w:p w14:paraId="0608E883">
                  <w:pPr>
                    <w:pStyle w:val="32"/>
                    <w:spacing w:after="0" w:line="240" w:lineRule="auto"/>
                    <w:ind w:firstLine="0" w:firstLineChars="0"/>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功能需求</w:t>
                  </w:r>
                </w:p>
              </w:tc>
              <w:tc>
                <w:tcPr>
                  <w:tcW w:w="2185" w:type="pct"/>
                </w:tcPr>
                <w:p w14:paraId="0454A211">
                  <w:pPr>
                    <w:pStyle w:val="32"/>
                    <w:spacing w:after="0" w:line="240" w:lineRule="auto"/>
                    <w:ind w:firstLine="210"/>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20</w:t>
                  </w:r>
                </w:p>
              </w:tc>
            </w:tr>
            <w:tr w14:paraId="7B82B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814" w:type="pct"/>
                  <w:gridSpan w:val="2"/>
                </w:tcPr>
                <w:p w14:paraId="49410D94">
                  <w:pPr>
                    <w:pStyle w:val="32"/>
                    <w:spacing w:after="0" w:line="240" w:lineRule="auto"/>
                    <w:ind w:firstLine="210"/>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合计</w:t>
                  </w:r>
                </w:p>
              </w:tc>
              <w:tc>
                <w:tcPr>
                  <w:tcW w:w="2185" w:type="pct"/>
                </w:tcPr>
                <w:p w14:paraId="504A303D">
                  <w:pPr>
                    <w:pStyle w:val="32"/>
                    <w:spacing w:after="0" w:line="240" w:lineRule="auto"/>
                    <w:ind w:firstLine="210"/>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20</w:t>
                  </w:r>
                </w:p>
              </w:tc>
            </w:tr>
          </w:tbl>
          <w:p w14:paraId="36F75C0A">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jc w:val="left"/>
              <w:textAlignment w:val="auto"/>
              <w:outlineLvl w:val="0"/>
              <w:rPr>
                <w:rFonts w:hint="eastAsia" w:asciiTheme="minorEastAsia" w:hAnsiTheme="minorEastAsia" w:eastAsiaTheme="minorEastAsia" w:cstheme="minorEastAsia"/>
                <w:b w:val="0"/>
                <w:bCs w:val="0"/>
                <w:sz w:val="21"/>
                <w:szCs w:val="21"/>
              </w:rPr>
            </w:pPr>
            <w:bookmarkStart w:id="100" w:name="_Toc15014"/>
            <w:r>
              <w:rPr>
                <w:rFonts w:hint="eastAsia" w:asciiTheme="minorEastAsia" w:hAnsiTheme="minorEastAsia" w:eastAsiaTheme="minorEastAsia" w:cstheme="minorEastAsia"/>
                <w:b w:val="0"/>
                <w:bCs w:val="0"/>
                <w:sz w:val="21"/>
                <w:szCs w:val="21"/>
              </w:rPr>
              <w:t>6.3 工作量度量</w:t>
            </w:r>
            <w:bookmarkEnd w:id="100"/>
          </w:p>
          <w:p w14:paraId="3192E45F">
            <w:pPr>
              <w:pStyle w:val="9"/>
              <w:keepNext w:val="0"/>
              <w:keepLines w:val="0"/>
              <w:pageBreakBefore w:val="0"/>
              <w:widowControl w:val="0"/>
              <w:kinsoku/>
              <w:wordWrap/>
              <w:overflowPunct/>
              <w:topLinePunct w:val="0"/>
              <w:bidi w:val="0"/>
              <w:adjustRightInd/>
              <w:snapToGrid/>
              <w:spacing w:after="0" w:line="240" w:lineRule="auto"/>
              <w:ind w:firstLine="412" w:firstLineChars="200"/>
              <w:textAlignment w:val="auto"/>
              <w:rPr>
                <w:rFonts w:hint="eastAsia" w:asciiTheme="minorEastAsia" w:hAnsiTheme="minorEastAsia" w:eastAsiaTheme="minorEastAsia" w:cstheme="minorEastAsia"/>
                <w:b w:val="0"/>
                <w:bCs w:val="0"/>
                <w:spacing w:val="-2"/>
                <w:kern w:val="0"/>
                <w:sz w:val="21"/>
                <w:szCs w:val="21"/>
              </w:rPr>
            </w:pPr>
            <w:r>
              <w:rPr>
                <w:rFonts w:hint="eastAsia" w:asciiTheme="minorEastAsia" w:hAnsiTheme="minorEastAsia" w:eastAsiaTheme="minorEastAsia" w:cstheme="minorEastAsia"/>
                <w:b w:val="0"/>
                <w:bCs w:val="0"/>
                <w:spacing w:val="-2"/>
                <w:kern w:val="0"/>
                <w:sz w:val="21"/>
                <w:szCs w:val="21"/>
              </w:rPr>
              <w:t>本次评估采用的工作量度量模型及度量结果，如下，</w:t>
            </w:r>
          </w:p>
          <w:p w14:paraId="567C3E1A">
            <w:pPr>
              <w:keepNext w:val="0"/>
              <w:keepLines w:val="0"/>
              <w:pageBreakBefore w:val="0"/>
              <w:widowControl w:val="0"/>
              <w:kinsoku/>
              <w:wordWrap/>
              <w:overflowPunct/>
              <w:topLinePunct w:val="0"/>
              <w:autoSpaceDE w:val="0"/>
              <w:autoSpaceDN w:val="0"/>
              <w:bidi w:val="0"/>
              <w:adjustRightInd/>
              <w:snapToGrid/>
              <w:spacing w:line="240" w:lineRule="auto"/>
              <w:ind w:firstLine="412" w:firstLineChars="200"/>
              <w:jc w:val="left"/>
              <w:textAlignment w:val="auto"/>
              <w:rPr>
                <w:rFonts w:hint="eastAsia" w:asciiTheme="minorEastAsia" w:hAnsiTheme="minorEastAsia" w:eastAsiaTheme="minorEastAsia" w:cstheme="minorEastAsia"/>
                <w:b w:val="0"/>
                <w:bCs w:val="0"/>
                <w:spacing w:val="-2"/>
                <w:kern w:val="0"/>
                <w:sz w:val="21"/>
                <w:szCs w:val="21"/>
              </w:rPr>
            </w:pPr>
            <w:r>
              <w:rPr>
                <w:rFonts w:hint="eastAsia" w:asciiTheme="minorEastAsia" w:hAnsiTheme="minorEastAsia" w:eastAsiaTheme="minorEastAsia" w:cstheme="minorEastAsia"/>
                <w:b w:val="0"/>
                <w:bCs w:val="0"/>
                <w:spacing w:val="-2"/>
                <w:kern w:val="0"/>
                <w:sz w:val="21"/>
                <w:szCs w:val="21"/>
              </w:rPr>
              <w:t>本报告中采用的估算模型如下所示，参数取值基于《软件工程 软件开发成本度量规范》（GB/T 36964-2018），估算结果代表了该行业的平均水平。</w:t>
            </w:r>
          </w:p>
          <w:p w14:paraId="6BE50F18">
            <w:pPr>
              <w:pStyle w:val="142"/>
              <w:spacing w:before="156" w:beforeLines="50" w:after="156" w:afterLines="50" w:line="240" w:lineRule="auto"/>
              <w:ind w:firstLine="0" w:firstLineChars="0"/>
              <w:jc w:val="center"/>
              <w:rPr>
                <w:rFonts w:hint="eastAsia" w:ascii="黑体" w:hAnsi="黑体" w:eastAsia="黑体" w:cs="黑体"/>
                <w:szCs w:val="18"/>
              </w:rPr>
            </w:pPr>
            <w:r>
              <w:rPr>
                <w:rFonts w:hint="eastAsia" w:ascii="黑体" w:hAnsi="黑体" w:eastAsia="黑体" w:cs="黑体"/>
                <w:szCs w:val="18"/>
              </w:rPr>
              <w:t>表6.2 结果计算一览表</w:t>
            </w:r>
          </w:p>
          <w:tbl>
            <w:tblPr>
              <w:tblStyle w:val="33"/>
              <w:tblW w:w="4957" w:type="pct"/>
              <w:jc w:val="center"/>
              <w:tblLayout w:type="autofit"/>
              <w:tblCellMar>
                <w:top w:w="0" w:type="dxa"/>
                <w:left w:w="108" w:type="dxa"/>
                <w:bottom w:w="0" w:type="dxa"/>
                <w:right w:w="108" w:type="dxa"/>
              </w:tblCellMar>
            </w:tblPr>
            <w:tblGrid>
              <w:gridCol w:w="2742"/>
              <w:gridCol w:w="3952"/>
              <w:gridCol w:w="2367"/>
            </w:tblGrid>
            <w:tr w14:paraId="3714722D">
              <w:tblPrEx>
                <w:tblCellMar>
                  <w:top w:w="0" w:type="dxa"/>
                  <w:left w:w="108" w:type="dxa"/>
                  <w:bottom w:w="0" w:type="dxa"/>
                  <w:right w:w="108" w:type="dxa"/>
                </w:tblCellMar>
              </w:tblPrEx>
              <w:trPr>
                <w:trHeight w:val="283" w:hRule="atLeast"/>
                <w:tblHeader/>
                <w:jc w:val="center"/>
              </w:trPr>
              <w:tc>
                <w:tcPr>
                  <w:tcW w:w="5000"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DB667">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工作量结果计算表</w:t>
                  </w:r>
                </w:p>
              </w:tc>
            </w:tr>
            <w:tr w14:paraId="5F1E35C4">
              <w:tblPrEx>
                <w:tblCellMar>
                  <w:top w:w="0" w:type="dxa"/>
                  <w:left w:w="108" w:type="dxa"/>
                  <w:bottom w:w="0" w:type="dxa"/>
                  <w:right w:w="108" w:type="dxa"/>
                </w:tblCellMar>
              </w:tblPrEx>
              <w:trPr>
                <w:trHeight w:val="283" w:hRule="atLeast"/>
                <w:tblHeader/>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C35C6">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单项</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94596">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数值</w:t>
                  </w:r>
                </w:p>
              </w:tc>
            </w:tr>
            <w:tr w14:paraId="2C07A08B">
              <w:tblPrEx>
                <w:tblCellMar>
                  <w:top w:w="0" w:type="dxa"/>
                  <w:left w:w="108" w:type="dxa"/>
                  <w:bottom w:w="0" w:type="dxa"/>
                  <w:right w:w="108" w:type="dxa"/>
                </w:tblCellMar>
              </w:tblPrEx>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5C0929">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功能规模（功能点）</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B6E28">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20.00 </w:t>
                  </w:r>
                </w:p>
              </w:tc>
            </w:tr>
            <w:tr w14:paraId="0CAF1A5F">
              <w:tblPrEx>
                <w:tblCellMar>
                  <w:top w:w="0" w:type="dxa"/>
                  <w:left w:w="108" w:type="dxa"/>
                  <w:bottom w:w="0" w:type="dxa"/>
                  <w:right w:w="108" w:type="dxa"/>
                </w:tblCellMar>
              </w:tblPrEx>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06F64D">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规模变更因子CF</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9CD95">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1.00 </w:t>
                  </w:r>
                </w:p>
              </w:tc>
            </w:tr>
            <w:tr w14:paraId="5C0F8366">
              <w:tblPrEx>
                <w:tblCellMar>
                  <w:top w:w="0" w:type="dxa"/>
                  <w:left w:w="108" w:type="dxa"/>
                  <w:bottom w:w="0" w:type="dxa"/>
                  <w:right w:w="108" w:type="dxa"/>
                </w:tblCellMar>
              </w:tblPrEx>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0716B9">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调整后的规模(功能点)</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1B029">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20.00 </w:t>
                  </w:r>
                </w:p>
              </w:tc>
            </w:tr>
            <w:tr w14:paraId="3E4A974F">
              <w:tblPrEx>
                <w:tblCellMar>
                  <w:top w:w="0" w:type="dxa"/>
                  <w:left w:w="108" w:type="dxa"/>
                  <w:bottom w:w="0" w:type="dxa"/>
                  <w:right w:w="108" w:type="dxa"/>
                </w:tblCellMar>
              </w:tblPrEx>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B5593">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生产率（人天/功能点）</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4AFE4">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1.4183 </w:t>
                  </w:r>
                </w:p>
              </w:tc>
            </w:tr>
            <w:tr w14:paraId="79599B66">
              <w:tblPrEx>
                <w:tblCellMar>
                  <w:top w:w="0" w:type="dxa"/>
                  <w:left w:w="108" w:type="dxa"/>
                  <w:bottom w:w="0" w:type="dxa"/>
                  <w:right w:w="108" w:type="dxa"/>
                </w:tblCellMar>
              </w:tblPrEx>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8A78C">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工作量（人天）</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C460E">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28.37 </w:t>
                  </w:r>
                </w:p>
              </w:tc>
            </w:tr>
            <w:tr w14:paraId="1BAF9642">
              <w:tblPrEx>
                <w:tblCellMar>
                  <w:top w:w="0" w:type="dxa"/>
                  <w:left w:w="108" w:type="dxa"/>
                  <w:bottom w:w="0" w:type="dxa"/>
                  <w:right w:w="108" w:type="dxa"/>
                </w:tblCellMar>
              </w:tblPrEx>
              <w:trPr>
                <w:trHeight w:val="283" w:hRule="atLeast"/>
                <w:jc w:val="center"/>
              </w:trPr>
              <w:tc>
                <w:tcPr>
                  <w:tcW w:w="151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B00D90">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软件因素调整</w:t>
                  </w:r>
                </w:p>
              </w:tc>
              <w:tc>
                <w:tcPr>
                  <w:tcW w:w="21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B1C01">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软件因素调整</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67B93">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0.9572</w:t>
                  </w:r>
                </w:p>
              </w:tc>
            </w:tr>
            <w:tr w14:paraId="2DBF6D83">
              <w:tblPrEx>
                <w:tblCellMar>
                  <w:top w:w="0" w:type="dxa"/>
                  <w:left w:w="108" w:type="dxa"/>
                  <w:bottom w:w="0" w:type="dxa"/>
                  <w:right w:w="108" w:type="dxa"/>
                </w:tblCellMar>
              </w:tblPrEx>
              <w:trPr>
                <w:trHeight w:val="283" w:hRule="atLeast"/>
                <w:jc w:val="center"/>
              </w:trPr>
              <w:tc>
                <w:tcPr>
                  <w:tcW w:w="15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FEA312">
                  <w:pPr>
                    <w:spacing w:line="240" w:lineRule="auto"/>
                    <w:jc w:val="center"/>
                    <w:rPr>
                      <w:rFonts w:hint="eastAsia" w:asciiTheme="minorEastAsia" w:hAnsiTheme="minorEastAsia" w:eastAsiaTheme="minorEastAsia" w:cstheme="minorEastAsia"/>
                      <w:b w:val="0"/>
                      <w:bCs w:val="0"/>
                      <w:sz w:val="21"/>
                      <w:szCs w:val="21"/>
                    </w:rPr>
                  </w:pPr>
                </w:p>
              </w:tc>
              <w:tc>
                <w:tcPr>
                  <w:tcW w:w="21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8139B">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软件规模SF</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378A9">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1.0635 </w:t>
                  </w:r>
                </w:p>
              </w:tc>
            </w:tr>
            <w:tr w14:paraId="7ADE6C05">
              <w:trPr>
                <w:trHeight w:val="283" w:hRule="atLeast"/>
                <w:jc w:val="center"/>
              </w:trPr>
              <w:tc>
                <w:tcPr>
                  <w:tcW w:w="15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DE2C10">
                  <w:pPr>
                    <w:spacing w:line="240" w:lineRule="auto"/>
                    <w:jc w:val="center"/>
                    <w:rPr>
                      <w:rFonts w:hint="eastAsia" w:asciiTheme="minorEastAsia" w:hAnsiTheme="minorEastAsia" w:eastAsiaTheme="minorEastAsia" w:cstheme="minorEastAsia"/>
                      <w:b w:val="0"/>
                      <w:bCs w:val="0"/>
                      <w:sz w:val="21"/>
                      <w:szCs w:val="21"/>
                    </w:rPr>
                  </w:pPr>
                </w:p>
              </w:tc>
              <w:tc>
                <w:tcPr>
                  <w:tcW w:w="21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07DA2">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应用类型AT</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7D800">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1.0 </w:t>
                  </w:r>
                </w:p>
              </w:tc>
            </w:tr>
            <w:tr w14:paraId="2741543E">
              <w:tblPrEx>
                <w:tblCellMar>
                  <w:top w:w="0" w:type="dxa"/>
                  <w:left w:w="108" w:type="dxa"/>
                  <w:bottom w:w="0" w:type="dxa"/>
                  <w:right w:w="108" w:type="dxa"/>
                </w:tblCellMar>
              </w:tblPrEx>
              <w:trPr>
                <w:trHeight w:val="283" w:hRule="atLeast"/>
                <w:jc w:val="center"/>
              </w:trPr>
              <w:tc>
                <w:tcPr>
                  <w:tcW w:w="15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E548BB">
                  <w:pPr>
                    <w:spacing w:line="240" w:lineRule="auto"/>
                    <w:jc w:val="center"/>
                    <w:rPr>
                      <w:rFonts w:hint="eastAsia" w:asciiTheme="minorEastAsia" w:hAnsiTheme="minorEastAsia" w:eastAsiaTheme="minorEastAsia" w:cstheme="minorEastAsia"/>
                      <w:b w:val="0"/>
                      <w:bCs w:val="0"/>
                      <w:sz w:val="21"/>
                      <w:szCs w:val="21"/>
                    </w:rPr>
                  </w:pPr>
                </w:p>
              </w:tc>
              <w:tc>
                <w:tcPr>
                  <w:tcW w:w="21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8EB2A">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质量及特性QR</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2E387">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0.900 </w:t>
                  </w:r>
                </w:p>
              </w:tc>
            </w:tr>
            <w:tr w14:paraId="488B3D74">
              <w:tblPrEx>
                <w:tblCellMar>
                  <w:top w:w="0" w:type="dxa"/>
                  <w:left w:w="108" w:type="dxa"/>
                  <w:bottom w:w="0" w:type="dxa"/>
                  <w:right w:w="108" w:type="dxa"/>
                </w:tblCellMar>
              </w:tblPrEx>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91AC8C">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完整性级别调整因子</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C83EB">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1.00 </w:t>
                  </w:r>
                </w:p>
              </w:tc>
            </w:tr>
            <w:tr w14:paraId="1B5B8B46">
              <w:tblPrEx>
                <w:tblCellMar>
                  <w:top w:w="0" w:type="dxa"/>
                  <w:left w:w="108" w:type="dxa"/>
                  <w:bottom w:w="0" w:type="dxa"/>
                  <w:right w:w="108" w:type="dxa"/>
                </w:tblCellMar>
              </w:tblPrEx>
              <w:trPr>
                <w:trHeight w:val="283" w:hRule="atLeast"/>
                <w:jc w:val="center"/>
              </w:trPr>
              <w:tc>
                <w:tcPr>
                  <w:tcW w:w="151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6C8F21">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开发因素</w:t>
                  </w:r>
                </w:p>
              </w:tc>
              <w:tc>
                <w:tcPr>
                  <w:tcW w:w="2180" w:type="pct"/>
                  <w:tcBorders>
                    <w:top w:val="single" w:color="000000" w:sz="4" w:space="0"/>
                    <w:left w:val="single" w:color="000000" w:sz="4" w:space="0"/>
                    <w:bottom w:val="single" w:color="000000" w:sz="4" w:space="0"/>
                    <w:right w:val="nil"/>
                  </w:tcBorders>
                  <w:shd w:val="clear" w:color="auto" w:fill="auto"/>
                  <w:vAlign w:val="center"/>
                </w:tcPr>
                <w:p w14:paraId="682827EA">
                  <w:pPr>
                    <w:widowControl/>
                    <w:spacing w:line="240" w:lineRule="auto"/>
                    <w:jc w:val="left"/>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开发语言</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BF2DB">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1.00 </w:t>
                  </w:r>
                </w:p>
              </w:tc>
            </w:tr>
            <w:tr w14:paraId="7F44DAD8">
              <w:tblPrEx>
                <w:tblCellMar>
                  <w:top w:w="0" w:type="dxa"/>
                  <w:left w:w="108" w:type="dxa"/>
                  <w:bottom w:w="0" w:type="dxa"/>
                  <w:right w:w="108" w:type="dxa"/>
                </w:tblCellMar>
              </w:tblPrEx>
              <w:trPr>
                <w:trHeight w:val="283" w:hRule="atLeast"/>
                <w:jc w:val="center"/>
              </w:trPr>
              <w:tc>
                <w:tcPr>
                  <w:tcW w:w="15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4FDABC">
                  <w:pPr>
                    <w:spacing w:line="240" w:lineRule="auto"/>
                    <w:jc w:val="center"/>
                    <w:rPr>
                      <w:rFonts w:hint="eastAsia" w:asciiTheme="minorEastAsia" w:hAnsiTheme="minorEastAsia" w:eastAsiaTheme="minorEastAsia" w:cstheme="minorEastAsia"/>
                      <w:b w:val="0"/>
                      <w:bCs w:val="0"/>
                      <w:sz w:val="21"/>
                      <w:szCs w:val="21"/>
                    </w:rPr>
                  </w:pPr>
                </w:p>
              </w:tc>
              <w:tc>
                <w:tcPr>
                  <w:tcW w:w="2180" w:type="pct"/>
                  <w:tcBorders>
                    <w:top w:val="single" w:color="000000" w:sz="4" w:space="0"/>
                    <w:left w:val="single" w:color="000000" w:sz="4" w:space="0"/>
                    <w:bottom w:val="single" w:color="000000" w:sz="4" w:space="0"/>
                    <w:right w:val="nil"/>
                  </w:tcBorders>
                  <w:shd w:val="clear" w:color="auto" w:fill="auto"/>
                  <w:vAlign w:val="center"/>
                </w:tcPr>
                <w:p w14:paraId="48F15EB2">
                  <w:pPr>
                    <w:widowControl/>
                    <w:spacing w:line="240" w:lineRule="auto"/>
                    <w:jc w:val="left"/>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开发团队背景</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00BC6">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0.80 </w:t>
                  </w:r>
                </w:p>
              </w:tc>
            </w:tr>
            <w:tr w14:paraId="7FA2B594">
              <w:tblPrEx>
                <w:tblCellMar>
                  <w:top w:w="0" w:type="dxa"/>
                  <w:left w:w="108" w:type="dxa"/>
                  <w:bottom w:w="0" w:type="dxa"/>
                  <w:right w:w="108" w:type="dxa"/>
                </w:tblCellMar>
              </w:tblPrEx>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BB5E21">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调整后工作量（单位：人天）</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AEDAF">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 xml:space="preserve">30.6300 </w:t>
                  </w:r>
                </w:p>
              </w:tc>
            </w:tr>
            <w:tr w14:paraId="1BB50133">
              <w:tblPrEx>
                <w:tblCellMar>
                  <w:top w:w="0" w:type="dxa"/>
                  <w:left w:w="108" w:type="dxa"/>
                  <w:bottom w:w="0" w:type="dxa"/>
                  <w:right w:w="108" w:type="dxa"/>
                </w:tblCellMar>
              </w:tblPrEx>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F9D46B">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取值范围</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8A1FD">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5%</w:t>
                  </w:r>
                </w:p>
              </w:tc>
            </w:tr>
            <w:tr w14:paraId="1B131561">
              <w:tblPrEx>
                <w:tblCellMar>
                  <w:top w:w="0" w:type="dxa"/>
                  <w:left w:w="108" w:type="dxa"/>
                  <w:bottom w:w="0" w:type="dxa"/>
                  <w:right w:w="108" w:type="dxa"/>
                </w:tblCellMar>
              </w:tblPrEx>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4A088E">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上限</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61CE8">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32.1615</w:t>
                  </w:r>
                </w:p>
              </w:tc>
            </w:tr>
            <w:tr w14:paraId="60367A16">
              <w:trPr>
                <w:trHeight w:val="283" w:hRule="atLeast"/>
                <w:jc w:val="center"/>
              </w:trPr>
              <w:tc>
                <w:tcPr>
                  <w:tcW w:w="369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C3CEB5">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下限</w:t>
                  </w:r>
                </w:p>
              </w:tc>
              <w:tc>
                <w:tcPr>
                  <w:tcW w:w="13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5BC5F">
                  <w:pPr>
                    <w:widowControl/>
                    <w:spacing w:line="240" w:lineRule="auto"/>
                    <w:jc w:val="center"/>
                    <w:textAlignment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kern w:val="0"/>
                      <w:sz w:val="21"/>
                      <w:szCs w:val="21"/>
                      <w:lang w:bidi="ar"/>
                    </w:rPr>
                    <w:t>29.0985</w:t>
                  </w:r>
                </w:p>
              </w:tc>
            </w:tr>
          </w:tbl>
          <w:p w14:paraId="44847F33">
            <w:pPr>
              <w:autoSpaceDE w:val="0"/>
              <w:autoSpaceDN w:val="0"/>
              <w:spacing w:before="40" w:line="240" w:lineRule="auto"/>
              <w:jc w:val="left"/>
              <w:outlineLvl w:val="9"/>
              <w:rPr>
                <w:rFonts w:hint="eastAsia" w:asciiTheme="minorEastAsia" w:hAnsiTheme="minorEastAsia" w:eastAsiaTheme="minorEastAsia" w:cstheme="minorEastAsia"/>
                <w:b w:val="0"/>
                <w:bCs w:val="0"/>
                <w:sz w:val="21"/>
                <w:szCs w:val="21"/>
              </w:rPr>
            </w:pPr>
          </w:p>
          <w:p w14:paraId="591F0383">
            <w:pPr>
              <w:pStyle w:val="9"/>
              <w:spacing w:after="0" w:line="240" w:lineRule="auto"/>
              <w:ind w:firstLine="420" w:firstLineChars="20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经对功能需求进行开发工作量度量后，各功能对应的工作量如下表所示：</w:t>
            </w:r>
          </w:p>
          <w:p w14:paraId="548585EA">
            <w:pPr>
              <w:pStyle w:val="142"/>
              <w:spacing w:before="156" w:beforeLines="50" w:after="156" w:afterLines="50" w:line="240" w:lineRule="auto"/>
              <w:ind w:firstLine="0" w:firstLineChars="0"/>
              <w:jc w:val="center"/>
              <w:rPr>
                <w:rFonts w:hint="eastAsia" w:ascii="黑体" w:hAnsi="黑体" w:eastAsia="黑体" w:cs="黑体"/>
                <w:szCs w:val="18"/>
              </w:rPr>
            </w:pPr>
            <w:r>
              <w:rPr>
                <w:rFonts w:hint="eastAsia" w:ascii="黑体" w:hAnsi="黑体" w:eastAsia="黑体" w:cs="黑体"/>
                <w:szCs w:val="18"/>
              </w:rPr>
              <w:t>表6.3 工作量度量结果表</w:t>
            </w:r>
          </w:p>
          <w:tbl>
            <w:tblPr>
              <w:tblStyle w:val="34"/>
              <w:tblW w:w="498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26"/>
              <w:gridCol w:w="2147"/>
              <w:gridCol w:w="1376"/>
              <w:gridCol w:w="1294"/>
              <w:gridCol w:w="1467"/>
            </w:tblGrid>
            <w:tr w14:paraId="6ED9D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551" w:type="pct"/>
                  <w:vMerge w:val="restart"/>
                  <w:vAlign w:val="center"/>
                </w:tcPr>
                <w:p w14:paraId="1D6BE098">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功能模块</w:t>
                  </w:r>
                </w:p>
              </w:tc>
              <w:tc>
                <w:tcPr>
                  <w:tcW w:w="1178" w:type="pct"/>
                  <w:vMerge w:val="restart"/>
                  <w:vAlign w:val="center"/>
                </w:tcPr>
                <w:p w14:paraId="08FFE344">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功能类型</w:t>
                  </w:r>
                </w:p>
              </w:tc>
              <w:tc>
                <w:tcPr>
                  <w:tcW w:w="2270" w:type="pct"/>
                  <w:gridSpan w:val="3"/>
                  <w:vAlign w:val="center"/>
                </w:tcPr>
                <w:p w14:paraId="51ACC9C2">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核定工作量（单位：人天）</w:t>
                  </w:r>
                </w:p>
              </w:tc>
            </w:tr>
            <w:tr w14:paraId="7CD5F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551" w:type="pct"/>
                  <w:vMerge w:val="continue"/>
                  <w:vAlign w:val="center"/>
                </w:tcPr>
                <w:p w14:paraId="06968D53">
                  <w:pPr>
                    <w:spacing w:line="240" w:lineRule="auto"/>
                    <w:jc w:val="center"/>
                    <w:rPr>
                      <w:rFonts w:hint="eastAsia" w:asciiTheme="minorEastAsia" w:hAnsiTheme="minorEastAsia" w:eastAsiaTheme="minorEastAsia" w:cstheme="minorEastAsia"/>
                      <w:b w:val="0"/>
                      <w:bCs w:val="0"/>
                      <w:sz w:val="21"/>
                      <w:szCs w:val="21"/>
                    </w:rPr>
                  </w:pPr>
                </w:p>
              </w:tc>
              <w:tc>
                <w:tcPr>
                  <w:tcW w:w="1178" w:type="pct"/>
                  <w:vMerge w:val="continue"/>
                  <w:vAlign w:val="center"/>
                </w:tcPr>
                <w:p w14:paraId="7C938DD8">
                  <w:pPr>
                    <w:spacing w:line="240" w:lineRule="auto"/>
                    <w:jc w:val="center"/>
                    <w:rPr>
                      <w:rFonts w:hint="eastAsia" w:asciiTheme="minorEastAsia" w:hAnsiTheme="minorEastAsia" w:eastAsiaTheme="minorEastAsia" w:cstheme="minorEastAsia"/>
                      <w:b w:val="0"/>
                      <w:bCs w:val="0"/>
                      <w:sz w:val="21"/>
                      <w:szCs w:val="21"/>
                    </w:rPr>
                  </w:pPr>
                </w:p>
              </w:tc>
              <w:tc>
                <w:tcPr>
                  <w:tcW w:w="755" w:type="pct"/>
                  <w:vAlign w:val="center"/>
                </w:tcPr>
                <w:p w14:paraId="74BAF311">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下限</w:t>
                  </w:r>
                </w:p>
              </w:tc>
              <w:tc>
                <w:tcPr>
                  <w:tcW w:w="710" w:type="pct"/>
                  <w:vAlign w:val="center"/>
                </w:tcPr>
                <w:p w14:paraId="5A3EE806">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基准</w:t>
                  </w:r>
                </w:p>
              </w:tc>
              <w:tc>
                <w:tcPr>
                  <w:tcW w:w="804" w:type="pct"/>
                  <w:vAlign w:val="center"/>
                </w:tcPr>
                <w:p w14:paraId="3D7C7871">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上限</w:t>
                  </w:r>
                </w:p>
              </w:tc>
            </w:tr>
            <w:tr w14:paraId="0BBC2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551" w:type="pct"/>
                  <w:vAlign w:val="center"/>
                </w:tcPr>
                <w:p w14:paraId="0727D565">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交付活动与割接过程管理</w:t>
                  </w:r>
                </w:p>
              </w:tc>
              <w:tc>
                <w:tcPr>
                  <w:tcW w:w="1178" w:type="pct"/>
                  <w:vAlign w:val="center"/>
                </w:tcPr>
                <w:p w14:paraId="526A0B94">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功能需求</w:t>
                  </w:r>
                </w:p>
              </w:tc>
              <w:tc>
                <w:tcPr>
                  <w:tcW w:w="755" w:type="pct"/>
                  <w:vAlign w:val="center"/>
                </w:tcPr>
                <w:p w14:paraId="1A6D62F9">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29.0985</w:t>
                  </w:r>
                </w:p>
              </w:tc>
              <w:tc>
                <w:tcPr>
                  <w:tcW w:w="710" w:type="pct"/>
                  <w:vAlign w:val="center"/>
                </w:tcPr>
                <w:p w14:paraId="228CEF39">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30.6300</w:t>
                  </w:r>
                </w:p>
              </w:tc>
              <w:tc>
                <w:tcPr>
                  <w:tcW w:w="804" w:type="pct"/>
                  <w:vAlign w:val="center"/>
                </w:tcPr>
                <w:p w14:paraId="072D92FB">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32.1615</w:t>
                  </w:r>
                </w:p>
              </w:tc>
            </w:tr>
            <w:tr w14:paraId="6FA1B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729" w:type="pct"/>
                  <w:gridSpan w:val="2"/>
                  <w:vAlign w:val="center"/>
                </w:tcPr>
                <w:p w14:paraId="5BF892B7">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合计</w:t>
                  </w:r>
                </w:p>
              </w:tc>
              <w:tc>
                <w:tcPr>
                  <w:tcW w:w="755" w:type="pct"/>
                  <w:vAlign w:val="center"/>
                </w:tcPr>
                <w:p w14:paraId="506E1DF5">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29.0985</w:t>
                  </w:r>
                </w:p>
              </w:tc>
              <w:tc>
                <w:tcPr>
                  <w:tcW w:w="710" w:type="pct"/>
                  <w:vAlign w:val="center"/>
                </w:tcPr>
                <w:p w14:paraId="338FC145">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30.6300</w:t>
                  </w:r>
                </w:p>
              </w:tc>
              <w:tc>
                <w:tcPr>
                  <w:tcW w:w="804" w:type="pct"/>
                  <w:vAlign w:val="center"/>
                </w:tcPr>
                <w:p w14:paraId="39F6FAF9">
                  <w:pPr>
                    <w:spacing w:line="240" w:lineRule="auto"/>
                    <w:jc w:val="center"/>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32.1615</w:t>
                  </w:r>
                </w:p>
              </w:tc>
            </w:tr>
          </w:tbl>
          <w:p w14:paraId="52093504">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jc w:val="left"/>
              <w:textAlignment w:val="auto"/>
              <w:rPr>
                <w:rFonts w:hint="eastAsia" w:asciiTheme="minorEastAsia" w:hAnsiTheme="minorEastAsia" w:eastAsiaTheme="minorEastAsia" w:cstheme="minorEastAsia"/>
                <w:b w:val="0"/>
                <w:bCs w:val="0"/>
                <w:w w:val="95"/>
                <w:kern w:val="0"/>
                <w:sz w:val="21"/>
                <w:szCs w:val="21"/>
              </w:rPr>
            </w:pPr>
            <w:bookmarkStart w:id="101" w:name="_Toc17199"/>
            <w:r>
              <w:rPr>
                <w:rFonts w:hint="eastAsia" w:asciiTheme="minorEastAsia" w:hAnsiTheme="minorEastAsia" w:eastAsiaTheme="minorEastAsia" w:cstheme="minorEastAsia"/>
                <w:b w:val="0"/>
                <w:bCs w:val="0"/>
                <w:sz w:val="21"/>
                <w:szCs w:val="21"/>
              </w:rPr>
              <w:t>6.4</w:t>
            </w:r>
            <w:bookmarkEnd w:id="101"/>
            <w:r>
              <w:rPr>
                <w:rFonts w:hint="eastAsia" w:asciiTheme="minorEastAsia" w:hAnsiTheme="minorEastAsia" w:eastAsiaTheme="minorEastAsia" w:cstheme="minorEastAsia"/>
                <w:b w:val="0"/>
                <w:bCs w:val="0"/>
                <w:sz w:val="21"/>
                <w:szCs w:val="21"/>
              </w:rPr>
              <w:t xml:space="preserve"> 成本度量</w:t>
            </w:r>
          </w:p>
          <w:p w14:paraId="3399E86E">
            <w:pPr>
              <w:pStyle w:val="9"/>
              <w:spacing w:after="0" w:line="240" w:lineRule="auto"/>
              <w:ind w:firstLine="420" w:firstLineChars="20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成本度量所采用的方法及度量结果，示例如下：</w:t>
            </w:r>
          </w:p>
          <w:p w14:paraId="23B13F4F">
            <w:pPr>
              <w:pStyle w:val="142"/>
              <w:spacing w:before="156" w:beforeLines="50" w:after="156" w:afterLines="50" w:line="240" w:lineRule="auto"/>
              <w:ind w:firstLine="0" w:firstLineChars="0"/>
              <w:jc w:val="center"/>
              <w:rPr>
                <w:rFonts w:hint="eastAsia" w:ascii="黑体" w:hAnsi="黑体" w:eastAsia="黑体" w:cs="黑体"/>
                <w:szCs w:val="18"/>
              </w:rPr>
            </w:pPr>
            <w:r>
              <w:rPr>
                <w:rFonts w:hint="eastAsia" w:ascii="黑体" w:hAnsi="黑体" w:eastAsia="黑体" w:cs="黑体"/>
                <w:szCs w:val="18"/>
              </w:rPr>
              <w:t>表6.4 成本度量结果表</w:t>
            </w:r>
          </w:p>
          <w:tbl>
            <w:tblPr>
              <w:tblStyle w:val="34"/>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14"/>
              <w:gridCol w:w="1377"/>
              <w:gridCol w:w="1979"/>
              <w:gridCol w:w="1672"/>
              <w:gridCol w:w="1150"/>
              <w:gridCol w:w="1233"/>
            </w:tblGrid>
            <w:tr w14:paraId="0EC85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9" w:type="pct"/>
                  <w:vMerge w:val="restart"/>
                  <w:vAlign w:val="center"/>
                </w:tcPr>
                <w:p w14:paraId="486894B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功能模块</w:t>
                  </w:r>
                </w:p>
              </w:tc>
              <w:tc>
                <w:tcPr>
                  <w:tcW w:w="753" w:type="pct"/>
                  <w:vMerge w:val="restart"/>
                  <w:vAlign w:val="center"/>
                </w:tcPr>
                <w:p w14:paraId="26F3C66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功能类型</w:t>
                  </w:r>
                </w:p>
              </w:tc>
              <w:tc>
                <w:tcPr>
                  <w:tcW w:w="1084" w:type="pct"/>
                  <w:vMerge w:val="restart"/>
                  <w:vAlign w:val="center"/>
                </w:tcPr>
                <w:p w14:paraId="72FB56D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人天单价</w:t>
                  </w:r>
                </w:p>
                <w:p w14:paraId="695BA1C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（单位：元/人天）</w:t>
                  </w:r>
                </w:p>
              </w:tc>
              <w:tc>
                <w:tcPr>
                  <w:tcW w:w="2221" w:type="pct"/>
                  <w:gridSpan w:val="3"/>
                  <w:vAlign w:val="center"/>
                </w:tcPr>
                <w:p w14:paraId="21E5B1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核定投资（单位：万元）</w:t>
                  </w:r>
                </w:p>
              </w:tc>
            </w:tr>
            <w:tr w14:paraId="447D8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9" w:type="pct"/>
                  <w:vMerge w:val="continue"/>
                  <w:vAlign w:val="center"/>
                </w:tcPr>
                <w:p w14:paraId="3177E14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p>
              </w:tc>
              <w:tc>
                <w:tcPr>
                  <w:tcW w:w="753" w:type="pct"/>
                  <w:vMerge w:val="continue"/>
                  <w:vAlign w:val="center"/>
                </w:tcPr>
                <w:p w14:paraId="7E9F024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p>
              </w:tc>
              <w:tc>
                <w:tcPr>
                  <w:tcW w:w="1084" w:type="pct"/>
                  <w:vMerge w:val="continue"/>
                  <w:vAlign w:val="center"/>
                </w:tcPr>
                <w:p w14:paraId="6DDF2AB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p>
              </w:tc>
              <w:tc>
                <w:tcPr>
                  <w:tcW w:w="916" w:type="pct"/>
                  <w:vAlign w:val="center"/>
                </w:tcPr>
                <w:p w14:paraId="0475A6A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下限</w:t>
                  </w:r>
                </w:p>
              </w:tc>
              <w:tc>
                <w:tcPr>
                  <w:tcW w:w="630" w:type="pct"/>
                  <w:vAlign w:val="center"/>
                </w:tcPr>
                <w:p w14:paraId="26137CC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基准</w:t>
                  </w:r>
                </w:p>
              </w:tc>
              <w:tc>
                <w:tcPr>
                  <w:tcW w:w="675" w:type="pct"/>
                  <w:vAlign w:val="center"/>
                </w:tcPr>
                <w:p w14:paraId="17949A6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上限</w:t>
                  </w:r>
                </w:p>
              </w:tc>
            </w:tr>
            <w:tr w14:paraId="5226C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39" w:type="pct"/>
                  <w:vAlign w:val="center"/>
                </w:tcPr>
                <w:p w14:paraId="27BBD6B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交付活动与割接过程管理</w:t>
                  </w:r>
                </w:p>
              </w:tc>
              <w:tc>
                <w:tcPr>
                  <w:tcW w:w="753" w:type="pct"/>
                  <w:vAlign w:val="center"/>
                </w:tcPr>
                <w:p w14:paraId="5DE2887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功能需求</w:t>
                  </w:r>
                </w:p>
              </w:tc>
              <w:tc>
                <w:tcPr>
                  <w:tcW w:w="1084" w:type="pct"/>
                  <w:vAlign w:val="center"/>
                </w:tcPr>
                <w:p w14:paraId="1383A86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1000</w:t>
                  </w:r>
                </w:p>
              </w:tc>
              <w:tc>
                <w:tcPr>
                  <w:tcW w:w="916" w:type="pct"/>
                  <w:vAlign w:val="center"/>
                </w:tcPr>
                <w:p w14:paraId="3DCB66C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2.9099</w:t>
                  </w:r>
                </w:p>
              </w:tc>
              <w:tc>
                <w:tcPr>
                  <w:tcW w:w="630" w:type="pct"/>
                  <w:vAlign w:val="center"/>
                </w:tcPr>
                <w:p w14:paraId="2851608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3.0630</w:t>
                  </w:r>
                </w:p>
              </w:tc>
              <w:tc>
                <w:tcPr>
                  <w:tcW w:w="675" w:type="pct"/>
                  <w:vAlign w:val="center"/>
                </w:tcPr>
                <w:p w14:paraId="39B5146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3.2162</w:t>
                  </w:r>
                </w:p>
              </w:tc>
            </w:tr>
            <w:tr w14:paraId="6287E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93" w:type="pct"/>
                  <w:gridSpan w:val="2"/>
                  <w:vAlign w:val="center"/>
                </w:tcPr>
                <w:p w14:paraId="18827F2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合计</w:t>
                  </w:r>
                </w:p>
              </w:tc>
              <w:tc>
                <w:tcPr>
                  <w:tcW w:w="1084" w:type="pct"/>
                  <w:vAlign w:val="center"/>
                </w:tcPr>
                <w:p w14:paraId="0D4A031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1000</w:t>
                  </w:r>
                </w:p>
              </w:tc>
              <w:tc>
                <w:tcPr>
                  <w:tcW w:w="916" w:type="pct"/>
                  <w:vAlign w:val="center"/>
                </w:tcPr>
                <w:p w14:paraId="235916D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2.9099</w:t>
                  </w:r>
                </w:p>
              </w:tc>
              <w:tc>
                <w:tcPr>
                  <w:tcW w:w="630" w:type="pct"/>
                  <w:vAlign w:val="center"/>
                </w:tcPr>
                <w:p w14:paraId="6DC250F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3.0630</w:t>
                  </w:r>
                </w:p>
              </w:tc>
              <w:tc>
                <w:tcPr>
                  <w:tcW w:w="675" w:type="pct"/>
                  <w:vAlign w:val="center"/>
                </w:tcPr>
                <w:p w14:paraId="2F00227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3.2162</w:t>
                  </w:r>
                </w:p>
              </w:tc>
            </w:tr>
          </w:tbl>
          <w:p w14:paraId="449FE92C">
            <w:pPr>
              <w:keepNext w:val="0"/>
              <w:keepLines w:val="0"/>
              <w:pageBreakBefore w:val="0"/>
              <w:widowControl w:val="0"/>
              <w:kinsoku/>
              <w:wordWrap/>
              <w:overflowPunct/>
              <w:topLinePunct w:val="0"/>
              <w:autoSpaceDE w:val="0"/>
              <w:autoSpaceDN w:val="0"/>
              <w:bidi w:val="0"/>
              <w:adjustRightInd/>
              <w:snapToGrid/>
              <w:spacing w:before="157" w:beforeLines="50" w:after="157" w:afterLines="50" w:line="240" w:lineRule="auto"/>
              <w:textAlignment w:val="auto"/>
              <w:rPr>
                <w:rFonts w:hint="eastAsia" w:ascii="黑体" w:hAnsi="黑体" w:eastAsia="黑体" w:cs="黑体"/>
                <w:bCs/>
                <w:kern w:val="44"/>
                <w:szCs w:val="21"/>
              </w:rPr>
            </w:pPr>
            <w:r>
              <w:rPr>
                <w:rFonts w:hint="eastAsia" w:ascii="黑体" w:hAnsi="黑体" w:eastAsia="黑体" w:cs="黑体"/>
                <w:bCs/>
                <w:kern w:val="44"/>
                <w:szCs w:val="21"/>
              </w:rPr>
              <w:t>7 评估单位</w:t>
            </w:r>
          </w:p>
          <w:p w14:paraId="055D22A0">
            <w:pPr>
              <w:autoSpaceDE w:val="0"/>
              <w:autoSpaceDN w:val="0"/>
              <w:spacing w:line="240" w:lineRule="auto"/>
              <w:ind w:firstLine="412" w:firstLineChars="200"/>
              <w:jc w:val="left"/>
              <w:rPr>
                <w:rFonts w:ascii="宋体"/>
                <w:spacing w:val="-2"/>
                <w:kern w:val="0"/>
                <w:szCs w:val="21"/>
              </w:rPr>
            </w:pPr>
            <w:r>
              <w:rPr>
                <w:rFonts w:ascii="宋体"/>
                <w:spacing w:val="-2"/>
                <w:kern w:val="0"/>
                <w:szCs w:val="21"/>
              </w:rPr>
              <w:t>评估单位：XXX</w:t>
            </w:r>
          </w:p>
          <w:p w14:paraId="4E3AD420">
            <w:pPr>
              <w:autoSpaceDE w:val="0"/>
              <w:autoSpaceDN w:val="0"/>
              <w:spacing w:line="240" w:lineRule="auto"/>
              <w:ind w:firstLine="412" w:firstLineChars="200"/>
              <w:jc w:val="left"/>
              <w:rPr>
                <w:rFonts w:ascii="宋体"/>
                <w:spacing w:val="-2"/>
                <w:kern w:val="0"/>
                <w:szCs w:val="21"/>
              </w:rPr>
            </w:pPr>
            <w:r>
              <w:rPr>
                <w:rFonts w:ascii="宋体"/>
                <w:spacing w:val="-2"/>
                <w:kern w:val="0"/>
                <w:szCs w:val="21"/>
              </w:rPr>
              <w:t>项目总负责人：</w:t>
            </w:r>
            <w:r>
              <w:rPr>
                <w:rFonts w:hint="eastAsia" w:ascii="宋体"/>
                <w:spacing w:val="-2"/>
                <w:kern w:val="0"/>
                <w:szCs w:val="21"/>
              </w:rPr>
              <w:t>XXX</w:t>
            </w:r>
          </w:p>
          <w:p w14:paraId="1560D1F2">
            <w:pPr>
              <w:autoSpaceDE w:val="0"/>
              <w:autoSpaceDN w:val="0"/>
              <w:spacing w:line="240" w:lineRule="auto"/>
              <w:ind w:firstLine="412" w:firstLineChars="200"/>
              <w:jc w:val="left"/>
              <w:rPr>
                <w:rFonts w:ascii="宋体"/>
                <w:spacing w:val="-2"/>
                <w:kern w:val="0"/>
                <w:szCs w:val="21"/>
              </w:rPr>
            </w:pPr>
            <w:r>
              <w:rPr>
                <w:rFonts w:ascii="宋体"/>
                <w:spacing w:val="-2"/>
                <w:kern w:val="0"/>
                <w:szCs w:val="21"/>
              </w:rPr>
              <w:t>专业负责人（可选）：XXX</w:t>
            </w:r>
          </w:p>
          <w:p w14:paraId="57CD8E6B">
            <w:pPr>
              <w:autoSpaceDE w:val="0"/>
              <w:autoSpaceDN w:val="0"/>
              <w:spacing w:line="240" w:lineRule="auto"/>
              <w:ind w:firstLine="412" w:firstLineChars="200"/>
              <w:jc w:val="left"/>
              <w:rPr>
                <w:rFonts w:ascii="宋体"/>
                <w:spacing w:val="-2"/>
                <w:kern w:val="0"/>
                <w:szCs w:val="21"/>
              </w:rPr>
            </w:pPr>
            <w:r>
              <w:rPr>
                <w:rFonts w:ascii="宋体"/>
                <w:spacing w:val="-2"/>
                <w:kern w:val="0"/>
                <w:szCs w:val="21"/>
              </w:rPr>
              <w:t>评估师：XXX</w:t>
            </w:r>
            <w:r>
              <w:rPr>
                <w:rFonts w:hint="eastAsia" w:ascii="宋体"/>
                <w:spacing w:val="-2"/>
                <w:kern w:val="0"/>
                <w:szCs w:val="21"/>
              </w:rPr>
              <w:t>、</w:t>
            </w:r>
            <w:r>
              <w:rPr>
                <w:rFonts w:ascii="宋体"/>
                <w:spacing w:val="-2"/>
                <w:kern w:val="0"/>
                <w:szCs w:val="21"/>
              </w:rPr>
              <w:t>XXX</w:t>
            </w:r>
          </w:p>
          <w:p w14:paraId="04A91C4A">
            <w:pPr>
              <w:pStyle w:val="32"/>
              <w:spacing w:after="0" w:line="240" w:lineRule="auto"/>
              <w:ind w:firstLine="412" w:firstLineChars="200"/>
              <w:rPr>
                <w:rFonts w:ascii="宋体"/>
                <w:spacing w:val="-2"/>
                <w:kern w:val="0"/>
                <w:szCs w:val="21"/>
              </w:rPr>
            </w:pPr>
            <w:r>
              <w:rPr>
                <w:rFonts w:ascii="宋体"/>
                <w:spacing w:val="-2"/>
                <w:kern w:val="0"/>
                <w:szCs w:val="21"/>
              </w:rPr>
              <w:t>审核人：XXX</w:t>
            </w:r>
          </w:p>
          <w:p w14:paraId="71A94974">
            <w:pPr>
              <w:pStyle w:val="10"/>
              <w:spacing w:line="240" w:lineRule="auto"/>
              <w:rPr>
                <w:rFonts w:ascii="宋体"/>
                <w:highlight w:val="yellow"/>
              </w:rPr>
            </w:pPr>
          </w:p>
          <w:p w14:paraId="659ED474">
            <w:pPr>
              <w:pStyle w:val="10"/>
              <w:spacing w:line="240" w:lineRule="auto"/>
              <w:rPr>
                <w:rFonts w:ascii="宋体"/>
                <w:highlight w:val="yellow"/>
              </w:rPr>
            </w:pPr>
          </w:p>
          <w:p w14:paraId="789E9FBC">
            <w:pPr>
              <w:pStyle w:val="10"/>
              <w:spacing w:line="240" w:lineRule="auto"/>
              <w:rPr>
                <w:rFonts w:ascii="宋体"/>
                <w:highlight w:val="yellow"/>
              </w:rPr>
            </w:pPr>
          </w:p>
          <w:p w14:paraId="053F8401">
            <w:pPr>
              <w:pStyle w:val="10"/>
              <w:spacing w:line="240" w:lineRule="auto"/>
              <w:rPr>
                <w:rFonts w:ascii="宋体"/>
                <w:highlight w:val="yellow"/>
              </w:rPr>
            </w:pPr>
          </w:p>
          <w:p w14:paraId="51BFBAB0">
            <w:pPr>
              <w:pStyle w:val="10"/>
              <w:spacing w:line="240" w:lineRule="auto"/>
              <w:rPr>
                <w:rFonts w:ascii="宋体"/>
                <w:highlight w:val="yellow"/>
              </w:rPr>
            </w:pPr>
          </w:p>
          <w:p w14:paraId="571167AC">
            <w:pPr>
              <w:pStyle w:val="10"/>
              <w:spacing w:line="240" w:lineRule="auto"/>
              <w:rPr>
                <w:rFonts w:ascii="宋体"/>
                <w:highlight w:val="yellow"/>
              </w:rPr>
            </w:pPr>
          </w:p>
          <w:p w14:paraId="6B9E0A6B">
            <w:pPr>
              <w:pStyle w:val="10"/>
              <w:spacing w:line="240" w:lineRule="auto"/>
              <w:rPr>
                <w:rFonts w:ascii="宋体"/>
                <w:highlight w:val="yellow"/>
              </w:rPr>
            </w:pPr>
          </w:p>
          <w:p w14:paraId="6BE4882B">
            <w:pPr>
              <w:pStyle w:val="10"/>
              <w:spacing w:line="240" w:lineRule="auto"/>
              <w:rPr>
                <w:rFonts w:ascii="宋体"/>
                <w:highlight w:val="yellow"/>
              </w:rPr>
            </w:pPr>
          </w:p>
          <w:p w14:paraId="653C241D">
            <w:pPr>
              <w:pStyle w:val="10"/>
              <w:spacing w:line="240" w:lineRule="auto"/>
              <w:rPr>
                <w:rFonts w:ascii="宋体"/>
                <w:highlight w:val="yellow"/>
              </w:rPr>
            </w:pPr>
          </w:p>
          <w:p w14:paraId="0A52F0D1">
            <w:pPr>
              <w:pStyle w:val="10"/>
              <w:spacing w:line="240" w:lineRule="auto"/>
              <w:rPr>
                <w:rFonts w:ascii="宋体"/>
                <w:highlight w:val="yellow"/>
              </w:rPr>
            </w:pPr>
          </w:p>
          <w:p w14:paraId="7C89132D">
            <w:pPr>
              <w:pStyle w:val="10"/>
              <w:spacing w:line="240" w:lineRule="auto"/>
              <w:rPr>
                <w:rFonts w:ascii="宋体"/>
                <w:highlight w:val="yellow"/>
              </w:rPr>
            </w:pPr>
          </w:p>
          <w:p w14:paraId="5AE16DFC">
            <w:pPr>
              <w:pStyle w:val="10"/>
              <w:spacing w:line="240" w:lineRule="auto"/>
              <w:rPr>
                <w:rFonts w:ascii="宋体"/>
                <w:highlight w:val="yellow"/>
              </w:rPr>
            </w:pPr>
          </w:p>
          <w:p w14:paraId="19DC528B">
            <w:pPr>
              <w:pStyle w:val="10"/>
              <w:spacing w:line="240" w:lineRule="auto"/>
              <w:ind w:left="0" w:leftChars="0"/>
              <w:rPr>
                <w:rFonts w:ascii="宋体"/>
                <w:highlight w:val="yellow"/>
              </w:rPr>
            </w:pPr>
          </w:p>
        </w:tc>
      </w:tr>
    </w:tbl>
    <w:p w14:paraId="7215966F">
      <w:pPr>
        <w:spacing w:line="240" w:lineRule="auto"/>
      </w:pPr>
      <w:r>
        <w:rPr>
          <w:rFonts w:hint="eastAsia"/>
        </w:rPr>
        <w:br w:type="page"/>
      </w:r>
    </w:p>
    <w:p w14:paraId="315E9ECB">
      <w:pPr>
        <w:pStyle w:val="71"/>
        <w:spacing w:line="240" w:lineRule="auto"/>
        <w:rPr>
          <w:color w:val="auto"/>
        </w:rPr>
      </w:pPr>
      <w:r>
        <w:rPr>
          <w:rFonts w:hint="eastAsia"/>
          <w:color w:val="auto"/>
        </w:rPr>
        <w:t>参</w:t>
      </w:r>
      <w:r>
        <w:rPr>
          <w:rFonts w:hAnsi="黑体"/>
          <w:color w:val="auto"/>
        </w:rPr>
        <w:t> </w:t>
      </w:r>
      <w:r>
        <w:rPr>
          <w:rFonts w:hint="eastAsia"/>
          <w:color w:val="auto"/>
        </w:rPr>
        <w:t>考</w:t>
      </w:r>
      <w:r>
        <w:rPr>
          <w:rFonts w:hAnsi="黑体"/>
          <w:color w:val="auto"/>
        </w:rPr>
        <w:t> </w:t>
      </w:r>
      <w:r>
        <w:rPr>
          <w:rFonts w:hint="eastAsia"/>
          <w:color w:val="auto"/>
        </w:rPr>
        <w:t>文</w:t>
      </w:r>
      <w:r>
        <w:rPr>
          <w:rFonts w:hAnsi="黑体"/>
          <w:color w:val="auto"/>
        </w:rPr>
        <w:t> </w:t>
      </w:r>
      <w:r>
        <w:rPr>
          <w:rFonts w:hint="eastAsia"/>
          <w:color w:val="auto"/>
        </w:rPr>
        <w:t>献</w:t>
      </w:r>
      <w:bookmarkEnd w:id="21"/>
      <w:bookmarkEnd w:id="22"/>
    </w:p>
    <w:p w14:paraId="593A3A3E">
      <w:pPr>
        <w:pStyle w:val="24"/>
        <w:keepNext w:val="0"/>
        <w:keepLines w:val="0"/>
        <w:pageBreakBefore w:val="0"/>
        <w:widowControl/>
        <w:kinsoku/>
        <w:wordWrap/>
        <w:overflowPunct/>
        <w:topLinePunct w:val="0"/>
        <w:autoSpaceDE w:val="0"/>
        <w:autoSpaceDN w:val="0"/>
        <w:bidi w:val="0"/>
        <w:adjustRightInd/>
        <w:snapToGrid/>
        <w:spacing w:line="240" w:lineRule="auto"/>
        <w:textAlignment w:val="auto"/>
        <w:rPr>
          <w:rFonts w:hint="eastAsia" w:ascii="宋体" w:hAnsi="Times New Roman" w:eastAsia="宋体" w:cs="Times New Roman"/>
          <w:color w:val="auto"/>
        </w:rPr>
      </w:pPr>
      <w:r>
        <w:rPr>
          <w:rFonts w:hint="eastAsia" w:ascii="宋体" w:hAnsi="Times New Roman" w:eastAsia="宋体" w:cs="Times New Roman"/>
          <w:color w:val="auto"/>
        </w:rPr>
        <w:t>[1]</w:t>
      </w:r>
      <w:r>
        <w:rPr>
          <w:rFonts w:hint="eastAsia" w:cs="Times New Roman"/>
          <w:color w:val="auto"/>
          <w:lang w:val="en-US" w:eastAsia="zh-CN"/>
        </w:rPr>
        <w:t xml:space="preserve"> </w:t>
      </w:r>
      <w:r>
        <w:rPr>
          <w:rFonts w:hint="eastAsia" w:ascii="宋体" w:hAnsi="Times New Roman" w:eastAsia="宋体" w:cs="Times New Roman"/>
          <w:color w:val="auto"/>
        </w:rPr>
        <w:t>GB/T 5271.1-2000 信息技术 词汇 第1部分:基本术语</w:t>
      </w:r>
    </w:p>
    <w:p w14:paraId="4362B5F4">
      <w:pPr>
        <w:pStyle w:val="24"/>
        <w:keepNext w:val="0"/>
        <w:keepLines w:val="0"/>
        <w:pageBreakBefore w:val="0"/>
        <w:widowControl/>
        <w:kinsoku/>
        <w:wordWrap/>
        <w:overflowPunct/>
        <w:topLinePunct w:val="0"/>
        <w:autoSpaceDE w:val="0"/>
        <w:autoSpaceDN w:val="0"/>
        <w:bidi w:val="0"/>
        <w:adjustRightInd/>
        <w:snapToGrid/>
        <w:spacing w:line="240" w:lineRule="auto"/>
        <w:textAlignment w:val="auto"/>
        <w:rPr>
          <w:rFonts w:hint="eastAsia" w:ascii="宋体" w:hAnsi="Times New Roman" w:eastAsia="宋体" w:cs="Times New Roman"/>
          <w:color w:val="auto"/>
        </w:rPr>
      </w:pPr>
      <w:r>
        <w:rPr>
          <w:rFonts w:hint="eastAsia" w:ascii="宋体" w:hAnsi="Times New Roman" w:eastAsia="宋体" w:cs="Times New Roman"/>
          <w:color w:val="auto"/>
        </w:rPr>
        <w:t>[2] GB/T 8566-2007信息技术 软件生存周期过程</w:t>
      </w:r>
    </w:p>
    <w:p w14:paraId="6BF2F71E">
      <w:pPr>
        <w:pStyle w:val="24"/>
        <w:keepNext w:val="0"/>
        <w:keepLines w:val="0"/>
        <w:pageBreakBefore w:val="0"/>
        <w:widowControl/>
        <w:kinsoku/>
        <w:wordWrap/>
        <w:overflowPunct/>
        <w:topLinePunct w:val="0"/>
        <w:autoSpaceDE w:val="0"/>
        <w:autoSpaceDN w:val="0"/>
        <w:bidi w:val="0"/>
        <w:adjustRightInd/>
        <w:snapToGrid/>
        <w:spacing w:line="240" w:lineRule="auto"/>
        <w:textAlignment w:val="auto"/>
        <w:rPr>
          <w:rFonts w:hint="eastAsia" w:ascii="宋体" w:hAnsi="Times New Roman" w:eastAsia="宋体" w:cs="Times New Roman"/>
          <w:color w:val="auto"/>
        </w:rPr>
      </w:pPr>
      <w:r>
        <w:rPr>
          <w:rFonts w:hint="eastAsia" w:ascii="宋体" w:hAnsi="Times New Roman" w:eastAsia="宋体" w:cs="Times New Roman"/>
          <w:color w:val="auto"/>
        </w:rPr>
        <w:t>[3] GB/T 11457-2006 信息技术 软件工程术语</w:t>
      </w:r>
    </w:p>
    <w:p w14:paraId="5671E20D">
      <w:pPr>
        <w:pStyle w:val="24"/>
        <w:keepNext w:val="0"/>
        <w:keepLines w:val="0"/>
        <w:pageBreakBefore w:val="0"/>
        <w:widowControl/>
        <w:kinsoku/>
        <w:wordWrap/>
        <w:overflowPunct/>
        <w:topLinePunct w:val="0"/>
        <w:autoSpaceDE w:val="0"/>
        <w:autoSpaceDN w:val="0"/>
        <w:bidi w:val="0"/>
        <w:adjustRightInd/>
        <w:snapToGrid/>
        <w:spacing w:line="240" w:lineRule="auto"/>
        <w:textAlignment w:val="auto"/>
        <w:rPr>
          <w:rFonts w:hint="eastAsia" w:ascii="宋体" w:hAnsi="Times New Roman" w:eastAsia="宋体" w:cs="Times New Roman"/>
          <w:color w:val="auto"/>
        </w:rPr>
      </w:pPr>
      <w:bookmarkStart w:id="102" w:name="_Toc11885"/>
      <w:bookmarkStart w:id="103" w:name="_Toc28156"/>
      <w:r>
        <w:rPr>
          <w:rFonts w:hint="eastAsia" w:ascii="宋体" w:hAnsi="Times New Roman" w:eastAsia="宋体" w:cs="Times New Roman"/>
          <w:color w:val="auto"/>
        </w:rPr>
        <w:t>[4] GB/T 20917-2007软件工程 软件测量过程</w:t>
      </w:r>
    </w:p>
    <w:p w14:paraId="02A72FE9">
      <w:pPr>
        <w:pStyle w:val="24"/>
        <w:keepNext w:val="0"/>
        <w:keepLines w:val="0"/>
        <w:pageBreakBefore w:val="0"/>
        <w:widowControl/>
        <w:kinsoku/>
        <w:wordWrap/>
        <w:overflowPunct/>
        <w:topLinePunct w:val="0"/>
        <w:autoSpaceDE w:val="0"/>
        <w:autoSpaceDN w:val="0"/>
        <w:bidi w:val="0"/>
        <w:adjustRightInd/>
        <w:snapToGrid/>
        <w:spacing w:line="240" w:lineRule="auto"/>
        <w:textAlignment w:val="auto"/>
        <w:rPr>
          <w:rFonts w:hint="eastAsia" w:ascii="宋体" w:hAnsi="Times New Roman" w:eastAsia="宋体" w:cs="Times New Roman"/>
          <w:color w:val="auto"/>
        </w:rPr>
      </w:pPr>
      <w:r>
        <w:rPr>
          <w:rFonts w:hint="eastAsia" w:ascii="宋体" w:hAnsi="Times New Roman" w:eastAsia="宋体" w:cs="Times New Roman"/>
          <w:color w:val="auto"/>
        </w:rPr>
        <w:t>[5] GB/T 36964-2018 软件工程 软件开发成本度量规范</w:t>
      </w:r>
      <w:bookmarkEnd w:id="102"/>
      <w:bookmarkEnd w:id="103"/>
    </w:p>
    <w:p w14:paraId="638D367B">
      <w:pPr>
        <w:pStyle w:val="24"/>
        <w:keepNext w:val="0"/>
        <w:keepLines w:val="0"/>
        <w:pageBreakBefore w:val="0"/>
        <w:widowControl/>
        <w:kinsoku/>
        <w:wordWrap/>
        <w:overflowPunct/>
        <w:topLinePunct w:val="0"/>
        <w:autoSpaceDE w:val="0"/>
        <w:autoSpaceDN w:val="0"/>
        <w:bidi w:val="0"/>
        <w:adjustRightInd/>
        <w:snapToGrid/>
        <w:spacing w:line="240" w:lineRule="auto"/>
        <w:textAlignment w:val="auto"/>
        <w:rPr>
          <w:rFonts w:hint="eastAsia" w:ascii="宋体" w:hAnsi="Times New Roman" w:eastAsia="宋体" w:cs="Times New Roman"/>
          <w:color w:val="auto"/>
        </w:rPr>
      </w:pPr>
      <w:r>
        <w:rPr>
          <w:rFonts w:hint="eastAsia" w:ascii="宋体" w:hAnsi="Times New Roman" w:eastAsia="宋体" w:cs="Times New Roman"/>
          <w:color w:val="auto"/>
        </w:rPr>
        <w:t>[</w:t>
      </w:r>
      <w:r>
        <w:rPr>
          <w:rFonts w:hint="eastAsia" w:ascii="宋体" w:eastAsia="宋体" w:cs="Times New Roman"/>
          <w:color w:val="auto"/>
          <w:lang w:val="en-US" w:eastAsia="zh-CN"/>
        </w:rPr>
        <w:t>6</w:t>
      </w:r>
      <w:r>
        <w:rPr>
          <w:rFonts w:hint="eastAsia" w:ascii="宋体" w:hAnsi="Times New Roman" w:eastAsia="宋体" w:cs="Times New Roman"/>
          <w:color w:val="auto"/>
        </w:rPr>
        <w:t xml:space="preserve">] </w:t>
      </w:r>
      <w:r>
        <w:rPr>
          <w:rFonts w:hint="eastAsia" w:ascii="宋体" w:hAnsi="Times New Roman" w:eastAsia="宋体" w:cs="Times New Roman"/>
          <w:color w:val="auto"/>
          <w:lang w:val="en-US" w:eastAsia="zh-CN"/>
        </w:rPr>
        <w:t>GB/T 42452-2023</w:t>
      </w:r>
      <w:r>
        <w:rPr>
          <w:rFonts w:hint="eastAsia" w:ascii="宋体" w:eastAsia="宋体" w:cs="Times New Roman"/>
          <w:color w:val="auto"/>
          <w:lang w:val="en-US" w:eastAsia="zh-CN"/>
        </w:rPr>
        <w:t xml:space="preserve"> </w:t>
      </w:r>
      <w:r>
        <w:rPr>
          <w:rFonts w:hint="eastAsia" w:ascii="宋体" w:hAnsi="Times New Roman" w:eastAsia="宋体" w:cs="Times New Roman"/>
          <w:color w:val="auto"/>
          <w:lang w:val="en-US" w:eastAsia="zh-CN"/>
        </w:rPr>
        <w:t>系统与软件工程</w:t>
      </w:r>
      <w:r>
        <w:rPr>
          <w:rFonts w:hint="eastAsia" w:cs="Times New Roman"/>
          <w:color w:val="auto"/>
          <w:lang w:val="en-US" w:eastAsia="zh-CN"/>
        </w:rPr>
        <w:t xml:space="preserve"> </w:t>
      </w:r>
      <w:r>
        <w:rPr>
          <w:rFonts w:hint="eastAsia" w:ascii="宋体" w:hAnsi="Times New Roman" w:eastAsia="宋体" w:cs="Times New Roman"/>
          <w:color w:val="auto"/>
          <w:lang w:val="en-US" w:eastAsia="zh-CN"/>
        </w:rPr>
        <w:t>功能规模测量</w:t>
      </w:r>
      <w:r>
        <w:rPr>
          <w:rFonts w:hint="eastAsia" w:cs="Times New Roman"/>
          <w:color w:val="auto"/>
          <w:lang w:val="en-US" w:eastAsia="zh-CN"/>
        </w:rPr>
        <w:t xml:space="preserve"> </w:t>
      </w:r>
      <w:r>
        <w:rPr>
          <w:rFonts w:hint="eastAsia" w:ascii="宋体" w:hAnsi="Times New Roman" w:eastAsia="宋体" w:cs="Times New Roman"/>
          <w:color w:val="auto"/>
          <w:lang w:val="en-US" w:eastAsia="zh-CN"/>
        </w:rPr>
        <w:t>COSMIC方法</w:t>
      </w:r>
    </w:p>
    <w:p w14:paraId="7115C82C">
      <w:pPr>
        <w:pStyle w:val="24"/>
        <w:keepNext w:val="0"/>
        <w:keepLines w:val="0"/>
        <w:pageBreakBefore w:val="0"/>
        <w:widowControl/>
        <w:kinsoku/>
        <w:wordWrap/>
        <w:overflowPunct/>
        <w:topLinePunct w:val="0"/>
        <w:autoSpaceDE w:val="0"/>
        <w:autoSpaceDN w:val="0"/>
        <w:bidi w:val="0"/>
        <w:adjustRightInd/>
        <w:snapToGrid/>
        <w:spacing w:line="240" w:lineRule="auto"/>
        <w:textAlignment w:val="auto"/>
        <w:rPr>
          <w:rFonts w:hint="eastAsia" w:ascii="宋体" w:hAnsi="Times New Roman" w:eastAsia="宋体" w:cs="Times New Roman"/>
          <w:color w:val="auto"/>
        </w:rPr>
      </w:pPr>
      <w:bookmarkStart w:id="104" w:name="_Toc16979"/>
      <w:bookmarkStart w:id="105" w:name="BookMark7"/>
      <w:bookmarkStart w:id="106" w:name="_Toc22068"/>
      <w:r>
        <w:rPr>
          <w:rFonts w:hint="eastAsia" w:ascii="宋体" w:hAnsi="Times New Roman" w:eastAsia="宋体" w:cs="Times New Roman"/>
          <w:color w:val="auto"/>
        </w:rPr>
        <w:t>[</w:t>
      </w:r>
      <w:r>
        <w:rPr>
          <w:rFonts w:hint="eastAsia" w:ascii="宋体" w:eastAsia="宋体" w:cs="Times New Roman"/>
          <w:color w:val="auto"/>
          <w:lang w:val="en-US" w:eastAsia="zh-CN"/>
        </w:rPr>
        <w:t>7</w:t>
      </w:r>
      <w:r>
        <w:rPr>
          <w:rFonts w:hint="eastAsia" w:ascii="宋体" w:hAnsi="Times New Roman" w:eastAsia="宋体" w:cs="Times New Roman"/>
          <w:color w:val="auto"/>
        </w:rPr>
        <w:t>] ISO 19761 COSMIC度量手册 （5.0版本）</w:t>
      </w:r>
      <w:bookmarkEnd w:id="104"/>
      <w:bookmarkEnd w:id="105"/>
      <w:bookmarkEnd w:id="106"/>
    </w:p>
    <w:p w14:paraId="36653744">
      <w:pPr>
        <w:pStyle w:val="24"/>
        <w:keepNext w:val="0"/>
        <w:keepLines w:val="0"/>
        <w:pageBreakBefore w:val="0"/>
        <w:widowControl/>
        <w:kinsoku/>
        <w:wordWrap/>
        <w:overflowPunct/>
        <w:topLinePunct w:val="0"/>
        <w:autoSpaceDE w:val="0"/>
        <w:autoSpaceDN w:val="0"/>
        <w:bidi w:val="0"/>
        <w:adjustRightInd/>
        <w:snapToGrid/>
        <w:spacing w:line="240" w:lineRule="auto"/>
        <w:textAlignment w:val="auto"/>
        <w:rPr>
          <w:rFonts w:hint="eastAsia" w:ascii="宋体" w:hAnsi="Times New Roman" w:eastAsia="宋体" w:cs="Times New Roman"/>
          <w:color w:val="auto"/>
        </w:rPr>
      </w:pPr>
      <w:r>
        <w:rPr>
          <w:rFonts w:hint="eastAsia" w:ascii="宋体" w:hAnsi="Times New Roman" w:eastAsia="宋体" w:cs="Times New Roman"/>
          <w:color w:val="auto"/>
        </w:rPr>
        <w:t>[</w:t>
      </w:r>
      <w:r>
        <w:rPr>
          <w:rFonts w:hint="eastAsia" w:cs="Times New Roman"/>
          <w:color w:val="auto"/>
          <w:lang w:val="en-US" w:eastAsia="zh-CN"/>
        </w:rPr>
        <w:t>8</w:t>
      </w:r>
      <w:r>
        <w:rPr>
          <w:rFonts w:hint="eastAsia" w:ascii="宋体" w:hAnsi="Times New Roman" w:eastAsia="宋体" w:cs="Times New Roman"/>
          <w:color w:val="auto"/>
        </w:rPr>
        <w:t>] CSBMK 中国软件行业基准数据</w:t>
      </w:r>
    </w:p>
    <w:p w14:paraId="2FECD676">
      <w:pPr>
        <w:pStyle w:val="24"/>
        <w:keepNext w:val="0"/>
        <w:keepLines w:val="0"/>
        <w:pageBreakBefore w:val="0"/>
        <w:widowControl/>
        <w:kinsoku/>
        <w:wordWrap/>
        <w:overflowPunct/>
        <w:topLinePunct w:val="0"/>
        <w:autoSpaceDE w:val="0"/>
        <w:autoSpaceDN w:val="0"/>
        <w:bidi w:val="0"/>
        <w:adjustRightInd/>
        <w:snapToGrid/>
        <w:spacing w:line="240" w:lineRule="auto"/>
        <w:textAlignment w:val="auto"/>
        <w:rPr>
          <w:rFonts w:hint="eastAsia" w:ascii="宋体" w:hAnsi="Times New Roman" w:eastAsia="宋体" w:cs="Times New Roman"/>
          <w:color w:val="auto"/>
        </w:rPr>
      </w:pPr>
      <w:r>
        <w:rPr>
          <w:rFonts w:hint="eastAsia" w:ascii="宋体" w:hAnsi="Times New Roman" w:eastAsia="宋体" w:cs="Times New Roman"/>
          <w:color w:val="auto"/>
        </w:rPr>
        <w:t>[</w:t>
      </w:r>
      <w:r>
        <w:rPr>
          <w:rFonts w:hint="eastAsia" w:cs="Times New Roman"/>
          <w:color w:val="auto"/>
          <w:lang w:val="en-US" w:eastAsia="zh-CN"/>
        </w:rPr>
        <w:t>9</w:t>
      </w:r>
      <w:r>
        <w:rPr>
          <w:rFonts w:hint="eastAsia" w:ascii="宋体" w:hAnsi="Times New Roman" w:eastAsia="宋体" w:cs="Times New Roman"/>
          <w:color w:val="auto"/>
        </w:rPr>
        <w:t>] SSM-BK 中国软件行业基准数据报告</w:t>
      </w:r>
    </w:p>
    <w:p w14:paraId="368E48B6">
      <w:pPr>
        <w:pStyle w:val="24"/>
        <w:spacing w:line="240" w:lineRule="auto"/>
      </w:pPr>
    </w:p>
    <w:p w14:paraId="3DBCA9AA">
      <w:pPr>
        <w:pStyle w:val="129"/>
        <w:framePr w:wrap="around"/>
      </w:pPr>
      <w:r>
        <w:t>_________________________________</w:t>
      </w:r>
    </w:p>
    <w:sectPr>
      <w:footerReference r:id="rId5" w:type="default"/>
      <w:pgSz w:w="11906" w:h="16838"/>
      <w:pgMar w:top="567" w:right="1134" w:bottom="1134" w:left="1418" w:header="1418" w:footer="1134" w:gutter="0"/>
      <w:pgNumType w:fmt="decimal" w:start="1"/>
      <w:cols w:space="425"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5422A">
    <w:pPr>
      <w:pStyle w:val="43"/>
      <w:jc w:val="both"/>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328789">
                          <w:pPr>
                            <w:pStyle w:val="1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8328789">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50CF2C">
    <w:pPr>
      <w:pStyle w:val="43"/>
      <w:jc w:val="both"/>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F8EE18">
                          <w:pPr>
                            <w:pStyle w:val="1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4F8EE18">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72EA6">
    <w:pPr>
      <w:pStyle w:val="19"/>
    </w:pPr>
    <w:r>
      <w:t>T/SDASTC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4378C4"/>
    <w:multiLevelType w:val="multilevel"/>
    <w:tmpl w:val="954378C4"/>
    <w:lvl w:ilvl="0" w:tentative="0">
      <w:start w:val="1"/>
      <w:numFmt w:val="decimal"/>
      <w:lvlText w:val="%1)"/>
      <w:lvlJc w:val="left"/>
      <w:pPr>
        <w:ind w:left="425" w:hanging="425"/>
      </w:pPr>
      <w:rPr>
        <w:rFonts w:hint="default"/>
      </w:rPr>
    </w:lvl>
    <w:lvl w:ilvl="1" w:tentative="0">
      <w:start w:val="1"/>
      <w:numFmt w:val="lowerLetter"/>
      <w:lvlText w:val="%2."/>
      <w:lvlJc w:val="left"/>
      <w:pPr>
        <w:tabs>
          <w:tab w:val="left" w:pos="840"/>
        </w:tabs>
        <w:ind w:left="840" w:hanging="420"/>
      </w:pPr>
      <w:rPr>
        <w:rFonts w:hint="default"/>
      </w:rPr>
    </w:lvl>
    <w:lvl w:ilvl="2" w:tentative="0">
      <w:start w:val="1"/>
      <w:numFmt w:val="lowerLetter"/>
      <w:lvlText w:val="%3)"/>
      <w:lvlJc w:val="left"/>
      <w:pPr>
        <w:tabs>
          <w:tab w:val="left" w:pos="1260"/>
        </w:tabs>
        <w:ind w:left="1260" w:hanging="420"/>
      </w:pPr>
      <w:rPr>
        <w:rFonts w:hint="default"/>
      </w:rPr>
    </w:lvl>
    <w:lvl w:ilvl="3" w:tentative="0">
      <w:start w:val="1"/>
      <w:numFmt w:val="lowerRoman"/>
      <w:lvlText w:val="%4."/>
      <w:lvlJc w:val="left"/>
      <w:pPr>
        <w:tabs>
          <w:tab w:val="left" w:pos="1680"/>
        </w:tabs>
        <w:ind w:left="1680" w:hanging="420"/>
      </w:pPr>
      <w:rPr>
        <w:rFonts w:hint="default"/>
      </w:rPr>
    </w:lvl>
    <w:lvl w:ilvl="4" w:tentative="0">
      <w:start w:val="1"/>
      <w:numFmt w:val="lowerRoman"/>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Letter"/>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Roman"/>
      <w:lvlText w:val="%9)"/>
      <w:lvlJc w:val="left"/>
      <w:pPr>
        <w:tabs>
          <w:tab w:val="left" w:pos="3780"/>
        </w:tabs>
        <w:ind w:left="3780" w:hanging="420"/>
      </w:pPr>
      <w:rPr>
        <w:rFonts w:hint="default"/>
      </w:rPr>
    </w:lvl>
  </w:abstractNum>
  <w:abstractNum w:abstractNumId="1">
    <w:nsid w:val="A022A41B"/>
    <w:multiLevelType w:val="singleLevel"/>
    <w:tmpl w:val="A022A41B"/>
    <w:lvl w:ilvl="0" w:tentative="0">
      <w:start w:val="1"/>
      <w:numFmt w:val="bullet"/>
      <w:lvlText w:val=""/>
      <w:lvlJc w:val="left"/>
      <w:pPr>
        <w:ind w:left="420" w:hanging="420"/>
      </w:pPr>
      <w:rPr>
        <w:rFonts w:hint="default" w:ascii="Wingdings" w:hAnsi="Wingdings"/>
      </w:rPr>
    </w:lvl>
  </w:abstractNum>
  <w:abstractNum w:abstractNumId="2">
    <w:nsid w:val="B4E4EFC2"/>
    <w:multiLevelType w:val="singleLevel"/>
    <w:tmpl w:val="B4E4EFC2"/>
    <w:lvl w:ilvl="0" w:tentative="0">
      <w:start w:val="1"/>
      <w:numFmt w:val="decimal"/>
      <w:suff w:val="nothing"/>
      <w:lvlText w:val="（%1）"/>
      <w:lvlJc w:val="left"/>
    </w:lvl>
  </w:abstractNum>
  <w:abstractNum w:abstractNumId="3">
    <w:nsid w:val="C45941EC"/>
    <w:multiLevelType w:val="singleLevel"/>
    <w:tmpl w:val="C45941EC"/>
    <w:lvl w:ilvl="0" w:tentative="0">
      <w:start w:val="1"/>
      <w:numFmt w:val="bullet"/>
      <w:lvlText w:val=""/>
      <w:lvlJc w:val="left"/>
      <w:pPr>
        <w:ind w:left="420" w:hanging="420"/>
      </w:pPr>
      <w:rPr>
        <w:rFonts w:hint="default" w:ascii="Wingdings" w:hAnsi="Wingdings"/>
      </w:rPr>
    </w:lvl>
  </w:abstractNum>
  <w:abstractNum w:abstractNumId="4">
    <w:nsid w:val="EBFA0596"/>
    <w:multiLevelType w:val="multilevel"/>
    <w:tmpl w:val="EBFA0596"/>
    <w:lvl w:ilvl="0" w:tentative="0">
      <w:start w:val="1"/>
      <w:numFmt w:val="decimal"/>
      <w:lvlText w:val="%1."/>
      <w:lvlJc w:val="left"/>
      <w:pPr>
        <w:ind w:left="425" w:hanging="425"/>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5">
    <w:nsid w:val="F35114F4"/>
    <w:multiLevelType w:val="multilevel"/>
    <w:tmpl w:val="F35114F4"/>
    <w:lvl w:ilvl="0" w:tentative="0">
      <w:start w:val="1"/>
      <w:numFmt w:val="lowerLetter"/>
      <w:lvlText w:val="%1)"/>
      <w:lvlJc w:val="left"/>
      <w:pPr>
        <w:tabs>
          <w:tab w:val="left" w:pos="312"/>
        </w:tabs>
      </w:pPr>
    </w:lvl>
    <w:lvl w:ilvl="1" w:tentative="0">
      <w:start w:val="1"/>
      <w:numFmt w:val="lowerLetter"/>
      <w:lvlText w:val="%2)"/>
      <w:lvlJc w:val="left"/>
      <w:pPr>
        <w:tabs>
          <w:tab w:val="left" w:pos="840"/>
        </w:tabs>
        <w:ind w:left="840" w:hanging="420"/>
      </w:pPr>
      <w:rPr>
        <w:rFonts w:hint="default"/>
      </w:rPr>
    </w:lvl>
    <w:lvl w:ilvl="2" w:tentative="0">
      <w:start w:val="1"/>
      <w:numFmt w:val="lowerRoman"/>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decimal"/>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Roman"/>
      <w:lvlText w:val="%9."/>
      <w:lvlJc w:val="left"/>
      <w:pPr>
        <w:tabs>
          <w:tab w:val="left" w:pos="3780"/>
        </w:tabs>
        <w:ind w:left="3780" w:hanging="420"/>
      </w:pPr>
      <w:rPr>
        <w:rFonts w:hint="default"/>
      </w:rPr>
    </w:lvl>
  </w:abstractNum>
  <w:abstractNum w:abstractNumId="6">
    <w:nsid w:val="F6F31BEB"/>
    <w:multiLevelType w:val="multilevel"/>
    <w:tmpl w:val="F6F31BEB"/>
    <w:lvl w:ilvl="0" w:tentative="0">
      <w:start w:val="1"/>
      <w:numFmt w:val="lowerLetter"/>
      <w:lvlText w:val="%1."/>
      <w:lvlJc w:val="left"/>
      <w:pPr>
        <w:ind w:left="425" w:hanging="425"/>
      </w:pPr>
      <w:rPr>
        <w:rFonts w:hint="default"/>
      </w:rPr>
    </w:lvl>
    <w:lvl w:ilvl="1" w:tentative="0">
      <w:start w:val="1"/>
      <w:numFmt w:val="lowerLetter"/>
      <w:lvlText w:val="%2)"/>
      <w:lvlJc w:val="left"/>
      <w:pPr>
        <w:tabs>
          <w:tab w:val="left" w:pos="840"/>
        </w:tabs>
        <w:ind w:left="840" w:hanging="420"/>
      </w:pPr>
      <w:rPr>
        <w:rFonts w:hint="default"/>
      </w:rPr>
    </w:lvl>
    <w:lvl w:ilvl="2" w:tentative="0">
      <w:start w:val="1"/>
      <w:numFmt w:val="lowerRoman"/>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decimal"/>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Roman"/>
      <w:lvlText w:val="%9."/>
      <w:lvlJc w:val="left"/>
      <w:pPr>
        <w:tabs>
          <w:tab w:val="left" w:pos="3780"/>
        </w:tabs>
        <w:ind w:left="3780" w:hanging="420"/>
      </w:pPr>
      <w:rPr>
        <w:rFonts w:hint="default"/>
      </w:rPr>
    </w:lvl>
  </w:abstractNum>
  <w:abstractNum w:abstractNumId="7">
    <w:nsid w:val="FDCEA66A"/>
    <w:multiLevelType w:val="singleLevel"/>
    <w:tmpl w:val="FDCEA66A"/>
    <w:lvl w:ilvl="0" w:tentative="0">
      <w:start w:val="1"/>
      <w:numFmt w:val="lowerLetter"/>
      <w:suff w:val="space"/>
      <w:lvlText w:val="%1)"/>
      <w:lvlJc w:val="left"/>
    </w:lvl>
  </w:abstractNum>
  <w:abstractNum w:abstractNumId="8">
    <w:nsid w:val="0A952887"/>
    <w:multiLevelType w:val="multilevel"/>
    <w:tmpl w:val="0A952887"/>
    <w:lvl w:ilvl="0" w:tentative="0">
      <w:start w:val="1"/>
      <w:numFmt w:val="decimal"/>
      <w:pStyle w:val="65"/>
      <w:suff w:val="nothing"/>
      <w:lvlText w:val="注%1："/>
      <w:lvlJc w:val="left"/>
      <w:pPr>
        <w:ind w:left="811" w:hanging="448"/>
      </w:pPr>
      <w:rPr>
        <w:rFonts w:hint="eastAsia" w:ascii="黑体" w:hAnsi="黑体" w:eastAsia="黑体"/>
        <w:b w:val="0"/>
        <w:i w:val="0"/>
        <w:sz w:val="18"/>
        <w:vertAlign w:val="baseline"/>
        <w:lang w:val="en-US"/>
      </w:rPr>
    </w:lvl>
    <w:lvl w:ilvl="1" w:tentative="0">
      <w:start w:val="1"/>
      <w:numFmt w:val="lowerLetter"/>
      <w:lvlText w:val="%2)"/>
      <w:lvlJc w:val="left"/>
      <w:pPr>
        <w:tabs>
          <w:tab w:val="left" w:pos="181"/>
        </w:tabs>
        <w:ind w:left="1174" w:hanging="630"/>
      </w:pPr>
      <w:rPr>
        <w:rFonts w:hint="eastAsia"/>
        <w:vertAlign w:val="baseline"/>
      </w:rPr>
    </w:lvl>
    <w:lvl w:ilvl="2" w:tentative="0">
      <w:start w:val="1"/>
      <w:numFmt w:val="lowerRoman"/>
      <w:lvlText w:val="%3."/>
      <w:lvlJc w:val="right"/>
      <w:pPr>
        <w:tabs>
          <w:tab w:val="left" w:pos="181"/>
        </w:tabs>
        <w:ind w:left="1174" w:hanging="630"/>
      </w:pPr>
      <w:rPr>
        <w:rFonts w:hint="eastAsia"/>
        <w:vertAlign w:val="baseline"/>
      </w:rPr>
    </w:lvl>
    <w:lvl w:ilvl="3" w:tentative="0">
      <w:start w:val="1"/>
      <w:numFmt w:val="decimal"/>
      <w:lvlText w:val="%4."/>
      <w:lvlJc w:val="left"/>
      <w:pPr>
        <w:tabs>
          <w:tab w:val="left" w:pos="181"/>
        </w:tabs>
        <w:ind w:left="1174" w:hanging="630"/>
      </w:pPr>
      <w:rPr>
        <w:rFonts w:hint="eastAsia"/>
        <w:vertAlign w:val="baseline"/>
      </w:rPr>
    </w:lvl>
    <w:lvl w:ilvl="4" w:tentative="0">
      <w:start w:val="1"/>
      <w:numFmt w:val="lowerLetter"/>
      <w:lvlText w:val="%5)"/>
      <w:lvlJc w:val="left"/>
      <w:pPr>
        <w:tabs>
          <w:tab w:val="left" w:pos="181"/>
        </w:tabs>
        <w:ind w:left="1174" w:hanging="630"/>
      </w:pPr>
      <w:rPr>
        <w:rFonts w:hint="eastAsia"/>
        <w:vertAlign w:val="baseline"/>
      </w:rPr>
    </w:lvl>
    <w:lvl w:ilvl="5" w:tentative="0">
      <w:start w:val="1"/>
      <w:numFmt w:val="lowerRoman"/>
      <w:lvlText w:val="%6."/>
      <w:lvlJc w:val="right"/>
      <w:pPr>
        <w:tabs>
          <w:tab w:val="left" w:pos="181"/>
        </w:tabs>
        <w:ind w:left="1174" w:hanging="630"/>
      </w:pPr>
      <w:rPr>
        <w:rFonts w:hint="eastAsia"/>
        <w:vertAlign w:val="baseline"/>
      </w:rPr>
    </w:lvl>
    <w:lvl w:ilvl="6" w:tentative="0">
      <w:start w:val="1"/>
      <w:numFmt w:val="decimal"/>
      <w:lvlText w:val="%7."/>
      <w:lvlJc w:val="left"/>
      <w:pPr>
        <w:tabs>
          <w:tab w:val="left" w:pos="181"/>
        </w:tabs>
        <w:ind w:left="1174" w:hanging="630"/>
      </w:pPr>
      <w:rPr>
        <w:rFonts w:hint="eastAsia"/>
        <w:vertAlign w:val="baseline"/>
      </w:rPr>
    </w:lvl>
    <w:lvl w:ilvl="7" w:tentative="0">
      <w:start w:val="1"/>
      <w:numFmt w:val="lowerLetter"/>
      <w:lvlText w:val="%8)"/>
      <w:lvlJc w:val="left"/>
      <w:pPr>
        <w:tabs>
          <w:tab w:val="left" w:pos="181"/>
        </w:tabs>
        <w:ind w:left="1174" w:hanging="630"/>
      </w:pPr>
      <w:rPr>
        <w:rFonts w:hint="eastAsia"/>
        <w:vertAlign w:val="baseline"/>
      </w:rPr>
    </w:lvl>
    <w:lvl w:ilvl="8" w:tentative="0">
      <w:start w:val="1"/>
      <w:numFmt w:val="lowerRoman"/>
      <w:lvlText w:val="%9."/>
      <w:lvlJc w:val="right"/>
      <w:pPr>
        <w:tabs>
          <w:tab w:val="left" w:pos="181"/>
        </w:tabs>
        <w:ind w:left="1174" w:hanging="630"/>
      </w:pPr>
      <w:rPr>
        <w:rFonts w:hint="eastAsia"/>
        <w:vertAlign w:val="baseline"/>
      </w:rPr>
    </w:lvl>
  </w:abstractNum>
  <w:abstractNum w:abstractNumId="9">
    <w:nsid w:val="0F805D97"/>
    <w:multiLevelType w:val="multilevel"/>
    <w:tmpl w:val="0F805D97"/>
    <w:lvl w:ilvl="0" w:tentative="0">
      <w:start w:val="1"/>
      <w:numFmt w:val="none"/>
      <w:pStyle w:val="57"/>
      <w:suff w:val="nothing"/>
      <w:lvlText w:val="注%1："/>
      <w:lvlJc w:val="left"/>
      <w:pPr>
        <w:ind w:left="0" w:firstLine="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10">
    <w:nsid w:val="15D9870B"/>
    <w:multiLevelType w:val="singleLevel"/>
    <w:tmpl w:val="15D9870B"/>
    <w:lvl w:ilvl="0" w:tentative="0">
      <w:start w:val="1"/>
      <w:numFmt w:val="bullet"/>
      <w:lvlText w:val=""/>
      <w:lvlJc w:val="left"/>
      <w:pPr>
        <w:ind w:left="420" w:hanging="420"/>
      </w:pPr>
      <w:rPr>
        <w:rFonts w:hint="default" w:ascii="Wingdings" w:hAnsi="Wingdings"/>
      </w:rPr>
    </w:lvl>
  </w:abstractNum>
  <w:abstractNum w:abstractNumId="11">
    <w:nsid w:val="1FC91163"/>
    <w:multiLevelType w:val="multilevel"/>
    <w:tmpl w:val="1FC91163"/>
    <w:lvl w:ilvl="0" w:tentative="0">
      <w:start w:val="1"/>
      <w:numFmt w:val="decimal"/>
      <w:pStyle w:val="45"/>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42"/>
      <w:suff w:val="nothing"/>
      <w:lvlText w:val="%1.%2　"/>
      <w:lvlJc w:val="left"/>
      <w:pPr>
        <w:ind w:left="0"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46"/>
      <w:suff w:val="nothing"/>
      <w:lvlText w:val="%1.%2.%3　"/>
      <w:lvlJc w:val="left"/>
      <w:pPr>
        <w:ind w:left="0" w:firstLine="0"/>
      </w:pPr>
      <w:rPr>
        <w:rFonts w:hint="eastAsia" w:ascii="黑体" w:hAnsi="Times New Roman" w:eastAsia="黑体"/>
        <w:b w:val="0"/>
        <w:i w:val="0"/>
        <w:sz w:val="21"/>
      </w:rPr>
    </w:lvl>
    <w:lvl w:ilvl="3" w:tentative="0">
      <w:start w:val="1"/>
      <w:numFmt w:val="decimal"/>
      <w:pStyle w:val="51"/>
      <w:suff w:val="nothing"/>
      <w:lvlText w:val="%1.%2.%3.%4　"/>
      <w:lvlJc w:val="left"/>
      <w:pPr>
        <w:ind w:left="0" w:firstLine="0"/>
      </w:pPr>
      <w:rPr>
        <w:rFonts w:hint="eastAsia" w:ascii="黑体" w:hAnsi="Times New Roman" w:eastAsia="黑体"/>
        <w:b w:val="0"/>
        <w:i w:val="0"/>
        <w:sz w:val="21"/>
      </w:rPr>
    </w:lvl>
    <w:lvl w:ilvl="4" w:tentative="0">
      <w:start w:val="1"/>
      <w:numFmt w:val="decimal"/>
      <w:pStyle w:val="55"/>
      <w:suff w:val="nothing"/>
      <w:lvlText w:val="%1.%2.%3.%4.%5　"/>
      <w:lvlJc w:val="left"/>
      <w:pPr>
        <w:ind w:left="0" w:firstLine="0"/>
      </w:pPr>
      <w:rPr>
        <w:rFonts w:hint="eastAsia" w:ascii="黑体" w:hAnsi="Times New Roman" w:eastAsia="黑体"/>
        <w:b w:val="0"/>
        <w:i w:val="0"/>
        <w:sz w:val="21"/>
      </w:rPr>
    </w:lvl>
    <w:lvl w:ilvl="5" w:tentative="0">
      <w:start w:val="1"/>
      <w:numFmt w:val="decimal"/>
      <w:pStyle w:val="56"/>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2">
    <w:nsid w:val="24B435DB"/>
    <w:multiLevelType w:val="multilevel"/>
    <w:tmpl w:val="24B435DB"/>
    <w:lvl w:ilvl="0" w:tentative="0">
      <w:start w:val="1"/>
      <w:numFmt w:val="lowerLetter"/>
      <w:pStyle w:val="121"/>
      <w:suff w:val="nothing"/>
      <w:lvlText w:val="%1   "/>
      <w:lvlJc w:val="left"/>
      <w:pPr>
        <w:ind w:left="544" w:hanging="181"/>
      </w:pPr>
      <w:rPr>
        <w:rFonts w:hint="eastAsia" w:ascii="宋体" w:eastAsia="宋体"/>
        <w:b w:val="0"/>
        <w:i w:val="0"/>
        <w:sz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13">
    <w:nsid w:val="29707437"/>
    <w:multiLevelType w:val="multilevel"/>
    <w:tmpl w:val="29707437"/>
    <w:lvl w:ilvl="0" w:tentative="0">
      <w:start w:val="1"/>
      <w:numFmt w:val="none"/>
      <w:pStyle w:val="64"/>
      <w:suff w:val="nothing"/>
      <w:lvlText w:val="%1注："/>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14">
    <w:nsid w:val="2A8F7113"/>
    <w:multiLevelType w:val="multilevel"/>
    <w:tmpl w:val="2A8F7113"/>
    <w:lvl w:ilvl="0" w:tentative="0">
      <w:start w:val="1"/>
      <w:numFmt w:val="upperLetter"/>
      <w:pStyle w:val="98"/>
      <w:suff w:val="space"/>
      <w:lvlText w:val="%1"/>
      <w:lvlJc w:val="left"/>
      <w:pPr>
        <w:ind w:left="623" w:hanging="425"/>
      </w:pPr>
      <w:rPr>
        <w:rFonts w:hint="eastAsia"/>
      </w:rPr>
    </w:lvl>
    <w:lvl w:ilvl="1" w:tentative="0">
      <w:start w:val="1"/>
      <w:numFmt w:val="decimal"/>
      <w:pStyle w:val="99"/>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15">
    <w:nsid w:val="2C5917C3"/>
    <w:multiLevelType w:val="multilevel"/>
    <w:tmpl w:val="2C5917C3"/>
    <w:lvl w:ilvl="0" w:tentative="0">
      <w:start w:val="1"/>
      <w:numFmt w:val="none"/>
      <w:pStyle w:val="48"/>
      <w:suff w:val="nothing"/>
      <w:lvlText w:val="%1——"/>
      <w:lvlJc w:val="left"/>
      <w:pPr>
        <w:ind w:left="833" w:hanging="408"/>
      </w:pPr>
      <w:rPr>
        <w:rFonts w:hint="eastAsia"/>
      </w:rPr>
    </w:lvl>
    <w:lvl w:ilvl="1" w:tentative="0">
      <w:start w:val="1"/>
      <w:numFmt w:val="bullet"/>
      <w:pStyle w:val="49"/>
      <w:lvlText w:val=""/>
      <w:lvlJc w:val="left"/>
      <w:pPr>
        <w:tabs>
          <w:tab w:val="left" w:pos="760"/>
        </w:tabs>
        <w:ind w:left="1264" w:hanging="413"/>
      </w:pPr>
      <w:rPr>
        <w:rFonts w:hint="default" w:ascii="Symbol" w:hAnsi="Symbol"/>
        <w:color w:val="auto"/>
      </w:rPr>
    </w:lvl>
    <w:lvl w:ilvl="2" w:tentative="0">
      <w:start w:val="1"/>
      <w:numFmt w:val="bullet"/>
      <w:pStyle w:val="60"/>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6">
    <w:nsid w:val="3B1374F1"/>
    <w:multiLevelType w:val="multilevel"/>
    <w:tmpl w:val="3B1374F1"/>
    <w:lvl w:ilvl="0" w:tentative="0">
      <w:start w:val="1"/>
      <w:numFmt w:val="lowerLetter"/>
      <w:pStyle w:val="59"/>
      <w:lvlText w:val="%1)"/>
      <w:lvlJc w:val="left"/>
      <w:pPr>
        <w:tabs>
          <w:tab w:val="left" w:pos="839"/>
        </w:tabs>
        <w:ind w:left="839" w:hanging="419"/>
      </w:pPr>
      <w:rPr>
        <w:rFonts w:hint="eastAsia" w:ascii="宋体" w:hAnsi="宋体" w:eastAsia="宋体"/>
        <w:b w:val="0"/>
        <w:i w:val="0"/>
        <w:sz w:val="20"/>
        <w:szCs w:val="21"/>
      </w:rPr>
    </w:lvl>
    <w:lvl w:ilvl="1" w:tentative="0">
      <w:start w:val="1"/>
      <w:numFmt w:val="decimal"/>
      <w:pStyle w:val="54"/>
      <w:lvlText w:val="%2)"/>
      <w:lvlJc w:val="left"/>
      <w:pPr>
        <w:tabs>
          <w:tab w:val="left" w:pos="1259"/>
        </w:tabs>
        <w:ind w:left="1259" w:hanging="420"/>
      </w:pPr>
      <w:rPr>
        <w:rFonts w:hint="eastAsia" w:ascii="宋体" w:hAnsi="宋体" w:eastAsia="宋体"/>
        <w:b w:val="0"/>
        <w:i w:val="0"/>
        <w:sz w:val="20"/>
      </w:rPr>
    </w:lvl>
    <w:lvl w:ilvl="2" w:tentative="0">
      <w:start w:val="1"/>
      <w:numFmt w:val="decimal"/>
      <w:pStyle w:val="61"/>
      <w:lvlText w:val="(%3)"/>
      <w:lvlJc w:val="left"/>
      <w:pPr>
        <w:tabs>
          <w:tab w:val="left" w:pos="0"/>
        </w:tabs>
        <w:ind w:left="1678" w:hanging="419"/>
      </w:pPr>
      <w:rPr>
        <w:rFonts w:hint="eastAsia" w:ascii="宋体" w:hAnsi="宋体" w:eastAsia="宋体"/>
        <w:b w:val="0"/>
        <w:i w:val="0"/>
        <w:sz w:val="20"/>
        <w:szCs w:val="21"/>
      </w:rPr>
    </w:lvl>
    <w:lvl w:ilvl="3" w:tentative="0">
      <w:start w:val="1"/>
      <w:numFmt w:val="decimal"/>
      <w:lvlText w:val="%4."/>
      <w:lvlJc w:val="left"/>
      <w:pPr>
        <w:tabs>
          <w:tab w:val="left" w:pos="2098"/>
        </w:tabs>
        <w:ind w:left="2098" w:hanging="420"/>
      </w:pPr>
      <w:rPr>
        <w:rFonts w:hint="eastAsia"/>
      </w:rPr>
    </w:lvl>
    <w:lvl w:ilvl="4" w:tentative="0">
      <w:start w:val="1"/>
      <w:numFmt w:val="lowerLetter"/>
      <w:lvlText w:val="%5)"/>
      <w:lvlJc w:val="left"/>
      <w:pPr>
        <w:tabs>
          <w:tab w:val="left" w:pos="2517"/>
        </w:tabs>
        <w:ind w:left="2517" w:hanging="419"/>
      </w:pPr>
      <w:rPr>
        <w:rFonts w:hint="eastAsia"/>
      </w:rPr>
    </w:lvl>
    <w:lvl w:ilvl="5" w:tentative="0">
      <w:start w:val="1"/>
      <w:numFmt w:val="lowerRoman"/>
      <w:lvlText w:val="%6."/>
      <w:lvlJc w:val="right"/>
      <w:pPr>
        <w:tabs>
          <w:tab w:val="left" w:pos="2942"/>
        </w:tabs>
        <w:ind w:left="2937" w:hanging="420"/>
      </w:pPr>
      <w:rPr>
        <w:rFonts w:hint="eastAsia"/>
      </w:rPr>
    </w:lvl>
    <w:lvl w:ilvl="6" w:tentative="0">
      <w:start w:val="1"/>
      <w:numFmt w:val="decimal"/>
      <w:lvlText w:val="%7."/>
      <w:lvlJc w:val="left"/>
      <w:pPr>
        <w:tabs>
          <w:tab w:val="left" w:pos="3362"/>
        </w:tabs>
        <w:ind w:left="3356" w:hanging="414"/>
      </w:pPr>
      <w:rPr>
        <w:rFonts w:hint="eastAsia"/>
      </w:rPr>
    </w:lvl>
    <w:lvl w:ilvl="7" w:tentative="0">
      <w:start w:val="1"/>
      <w:numFmt w:val="lowerLetter"/>
      <w:lvlText w:val="%8)"/>
      <w:lvlJc w:val="left"/>
      <w:pPr>
        <w:tabs>
          <w:tab w:val="left" w:pos="3781"/>
        </w:tabs>
        <w:ind w:left="3776" w:hanging="414"/>
      </w:pPr>
      <w:rPr>
        <w:rFonts w:hint="eastAsia"/>
      </w:rPr>
    </w:lvl>
    <w:lvl w:ilvl="8" w:tentative="0">
      <w:start w:val="1"/>
      <w:numFmt w:val="lowerRoman"/>
      <w:lvlText w:val="%9."/>
      <w:lvlJc w:val="right"/>
      <w:pPr>
        <w:tabs>
          <w:tab w:val="left" w:pos="4201"/>
        </w:tabs>
        <w:ind w:left="4201" w:hanging="420"/>
      </w:pPr>
      <w:rPr>
        <w:rFonts w:hint="eastAsia"/>
      </w:rPr>
    </w:lvl>
  </w:abstractNum>
  <w:abstractNum w:abstractNumId="17">
    <w:nsid w:val="3D733618"/>
    <w:multiLevelType w:val="multilevel"/>
    <w:tmpl w:val="3D733618"/>
    <w:lvl w:ilvl="0" w:tentative="0">
      <w:start w:val="1"/>
      <w:numFmt w:val="decimal"/>
      <w:pStyle w:val="25"/>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18">
    <w:nsid w:val="4104A56E"/>
    <w:multiLevelType w:val="singleLevel"/>
    <w:tmpl w:val="4104A56E"/>
    <w:lvl w:ilvl="0" w:tentative="0">
      <w:start w:val="1"/>
      <w:numFmt w:val="decimal"/>
      <w:suff w:val="nothing"/>
      <w:lvlText w:val="%1）"/>
      <w:lvlJc w:val="left"/>
    </w:lvl>
  </w:abstractNum>
  <w:abstractNum w:abstractNumId="19">
    <w:nsid w:val="4A062189"/>
    <w:multiLevelType w:val="singleLevel"/>
    <w:tmpl w:val="4A062189"/>
    <w:lvl w:ilvl="0" w:tentative="0">
      <w:start w:val="1"/>
      <w:numFmt w:val="bullet"/>
      <w:lvlText w:val=""/>
      <w:lvlJc w:val="left"/>
      <w:pPr>
        <w:ind w:left="420" w:hanging="420"/>
      </w:pPr>
      <w:rPr>
        <w:rFonts w:hint="default" w:ascii="Wingdings" w:hAnsi="Wingdings"/>
      </w:rPr>
    </w:lvl>
  </w:abstractNum>
  <w:abstractNum w:abstractNumId="20">
    <w:nsid w:val="520F62E9"/>
    <w:multiLevelType w:val="multilevel"/>
    <w:tmpl w:val="520F62E9"/>
    <w:lvl w:ilvl="0" w:tentative="0">
      <w:start w:val="1"/>
      <w:numFmt w:val="decimal"/>
      <w:pStyle w:val="128"/>
      <w:suff w:val="nothing"/>
      <w:lvlText w:val="图%1　"/>
      <w:lvlJc w:val="left"/>
      <w:pPr>
        <w:ind w:left="0" w:firstLine="0"/>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1">
    <w:nsid w:val="59704AC3"/>
    <w:multiLevelType w:val="singleLevel"/>
    <w:tmpl w:val="59704AC3"/>
    <w:lvl w:ilvl="0" w:tentative="0">
      <w:start w:val="1"/>
      <w:numFmt w:val="bullet"/>
      <w:lvlText w:val=""/>
      <w:lvlJc w:val="left"/>
      <w:pPr>
        <w:ind w:left="420" w:hanging="420"/>
      </w:pPr>
      <w:rPr>
        <w:rFonts w:hint="default" w:ascii="Wingdings" w:hAnsi="Wingdings"/>
      </w:rPr>
    </w:lvl>
  </w:abstractNum>
  <w:abstractNum w:abstractNumId="22">
    <w:nsid w:val="598497AA"/>
    <w:multiLevelType w:val="multilevel"/>
    <w:tmpl w:val="598497AA"/>
    <w:lvl w:ilvl="0" w:tentative="0">
      <w:start w:val="1"/>
      <w:numFmt w:val="lowerLetter"/>
      <w:lvlText w:val="%1)"/>
      <w:lvlJc w:val="left"/>
      <w:pPr>
        <w:tabs>
          <w:tab w:val="left" w:pos="312"/>
        </w:tabs>
      </w:pPr>
    </w:lvl>
    <w:lvl w:ilvl="1" w:tentative="0">
      <w:start w:val="1"/>
      <w:numFmt w:val="lowerLetter"/>
      <w:lvlText w:val="%2)"/>
      <w:lvlJc w:val="left"/>
      <w:pPr>
        <w:tabs>
          <w:tab w:val="left" w:pos="840"/>
        </w:tabs>
        <w:ind w:left="840" w:hanging="420"/>
      </w:pPr>
      <w:rPr>
        <w:rFonts w:hint="default"/>
      </w:rPr>
    </w:lvl>
    <w:lvl w:ilvl="2" w:tentative="0">
      <w:start w:val="1"/>
      <w:numFmt w:val="lowerRoman"/>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decimal"/>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Roman"/>
      <w:lvlText w:val="%9."/>
      <w:lvlJc w:val="left"/>
      <w:pPr>
        <w:tabs>
          <w:tab w:val="left" w:pos="3780"/>
        </w:tabs>
        <w:ind w:left="3780" w:hanging="420"/>
      </w:pPr>
      <w:rPr>
        <w:rFonts w:hint="default"/>
      </w:rPr>
    </w:lvl>
  </w:abstractNum>
  <w:abstractNum w:abstractNumId="23">
    <w:nsid w:val="5E63562F"/>
    <w:multiLevelType w:val="multilevel"/>
    <w:tmpl w:val="5E63562F"/>
    <w:lvl w:ilvl="0" w:tentative="0">
      <w:start w:val="1"/>
      <w:numFmt w:val="decimal"/>
      <w:pStyle w:val="58"/>
      <w:suff w:val="nothing"/>
      <w:lvlText w:val="注%1："/>
      <w:lvlJc w:val="left"/>
      <w:pPr>
        <w:ind w:left="0" w:firstLine="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24">
    <w:nsid w:val="60B55DC2"/>
    <w:multiLevelType w:val="multilevel"/>
    <w:tmpl w:val="60B55DC2"/>
    <w:lvl w:ilvl="0" w:tentative="0">
      <w:start w:val="1"/>
      <w:numFmt w:val="upperLetter"/>
      <w:pStyle w:val="86"/>
      <w:lvlText w:val="%1"/>
      <w:lvlJc w:val="left"/>
      <w:pPr>
        <w:tabs>
          <w:tab w:val="left" w:pos="0"/>
        </w:tabs>
        <w:ind w:left="0" w:hanging="425"/>
      </w:pPr>
      <w:rPr>
        <w:rFonts w:hint="eastAsia"/>
      </w:rPr>
    </w:lvl>
    <w:lvl w:ilvl="1" w:tentative="0">
      <w:start w:val="1"/>
      <w:numFmt w:val="decimal"/>
      <w:pStyle w:val="87"/>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25">
    <w:nsid w:val="63404DBE"/>
    <w:multiLevelType w:val="multilevel"/>
    <w:tmpl w:val="63404DBE"/>
    <w:lvl w:ilvl="0" w:tentative="0">
      <w:start w:val="1"/>
      <w:numFmt w:val="none"/>
      <w:pStyle w:val="52"/>
      <w:suff w:val="nothing"/>
      <w:lvlText w:val="%1示例："/>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26">
    <w:nsid w:val="63AF7EBF"/>
    <w:multiLevelType w:val="multilevel"/>
    <w:tmpl w:val="63AF7EBF"/>
    <w:lvl w:ilvl="0" w:tentative="0">
      <w:start w:val="1"/>
      <w:numFmt w:val="decimal"/>
      <w:pStyle w:val="126"/>
      <w:suff w:val="nothing"/>
      <w:lvlText w:val="表%1　"/>
      <w:lvlJc w:val="left"/>
      <w:pPr>
        <w:ind w:left="0" w:firstLine="0"/>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7">
    <w:nsid w:val="657D3FBC"/>
    <w:multiLevelType w:val="multilevel"/>
    <w:tmpl w:val="657D3FBC"/>
    <w:lvl w:ilvl="0" w:tentative="0">
      <w:start w:val="1"/>
      <w:numFmt w:val="upperLetter"/>
      <w:pStyle w:val="84"/>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102"/>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103"/>
      <w:suff w:val="nothing"/>
      <w:lvlText w:val="%1.%2.%3　"/>
      <w:lvlJc w:val="left"/>
      <w:pPr>
        <w:ind w:left="0" w:firstLine="0"/>
      </w:pPr>
      <w:rPr>
        <w:rFonts w:hint="eastAsia" w:ascii="黑体" w:hAnsi="Times New Roman" w:eastAsia="黑体"/>
        <w:b w:val="0"/>
        <w:i w:val="0"/>
        <w:sz w:val="21"/>
      </w:rPr>
    </w:lvl>
    <w:lvl w:ilvl="3" w:tentative="0">
      <w:start w:val="1"/>
      <w:numFmt w:val="decimal"/>
      <w:pStyle w:val="88"/>
      <w:suff w:val="nothing"/>
      <w:lvlText w:val="%1.%2.%3.%4　"/>
      <w:lvlJc w:val="left"/>
      <w:pPr>
        <w:ind w:left="0" w:firstLine="0"/>
      </w:pPr>
      <w:rPr>
        <w:rFonts w:hint="eastAsia" w:ascii="黑体" w:hAnsi="Times New Roman" w:eastAsia="黑体"/>
        <w:b w:val="0"/>
        <w:i w:val="0"/>
        <w:sz w:val="21"/>
      </w:rPr>
    </w:lvl>
    <w:lvl w:ilvl="4" w:tentative="0">
      <w:start w:val="1"/>
      <w:numFmt w:val="decimal"/>
      <w:pStyle w:val="93"/>
      <w:suff w:val="nothing"/>
      <w:lvlText w:val="%1.%2.%3.%4.%5　"/>
      <w:lvlJc w:val="left"/>
      <w:pPr>
        <w:ind w:left="0" w:firstLine="0"/>
      </w:pPr>
      <w:rPr>
        <w:rFonts w:hint="eastAsia" w:ascii="黑体" w:hAnsi="Times New Roman" w:eastAsia="黑体"/>
        <w:b w:val="0"/>
        <w:i w:val="0"/>
        <w:sz w:val="21"/>
      </w:rPr>
    </w:lvl>
    <w:lvl w:ilvl="5" w:tentative="0">
      <w:start w:val="1"/>
      <w:numFmt w:val="decimal"/>
      <w:pStyle w:val="96"/>
      <w:suff w:val="nothing"/>
      <w:lvlText w:val="%1.%2.%3.%4.%5.%6　"/>
      <w:lvlJc w:val="left"/>
      <w:pPr>
        <w:ind w:left="0" w:firstLine="0"/>
      </w:pPr>
      <w:rPr>
        <w:rFonts w:hint="eastAsia" w:ascii="黑体" w:hAnsi="Times New Roman" w:eastAsia="黑体"/>
        <w:b w:val="0"/>
        <w:i w:val="0"/>
        <w:sz w:val="21"/>
      </w:rPr>
    </w:lvl>
    <w:lvl w:ilvl="6" w:tentative="0">
      <w:start w:val="1"/>
      <w:numFmt w:val="decimal"/>
      <w:pStyle w:val="100"/>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8">
    <w:nsid w:val="6AB870ED"/>
    <w:multiLevelType w:val="multilevel"/>
    <w:tmpl w:val="6AB870ED"/>
    <w:lvl w:ilvl="0" w:tentative="0">
      <w:start w:val="1"/>
      <w:numFmt w:val="decimal"/>
      <w:pStyle w:val="62"/>
      <w:suff w:val="nothing"/>
      <w:lvlText w:val="示例%1："/>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29">
    <w:nsid w:val="6D6C07CD"/>
    <w:multiLevelType w:val="multilevel"/>
    <w:tmpl w:val="6D6C07CD"/>
    <w:lvl w:ilvl="0" w:tentative="0">
      <w:start w:val="1"/>
      <w:numFmt w:val="lowerLetter"/>
      <w:pStyle w:val="105"/>
      <w:lvlText w:val="%1)"/>
      <w:lvlJc w:val="left"/>
      <w:pPr>
        <w:tabs>
          <w:tab w:val="left" w:pos="839"/>
        </w:tabs>
        <w:ind w:left="839" w:hanging="419"/>
      </w:pPr>
      <w:rPr>
        <w:rFonts w:hint="eastAsia" w:ascii="宋体" w:eastAsia="宋体"/>
        <w:b w:val="0"/>
        <w:i w:val="0"/>
        <w:sz w:val="21"/>
      </w:rPr>
    </w:lvl>
    <w:lvl w:ilvl="1" w:tentative="0">
      <w:start w:val="1"/>
      <w:numFmt w:val="decimal"/>
      <w:pStyle w:val="95"/>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30">
    <w:nsid w:val="7C8329D5"/>
    <w:multiLevelType w:val="multilevel"/>
    <w:tmpl w:val="7C8329D5"/>
    <w:lvl w:ilvl="0" w:tentative="0">
      <w:start w:val="1"/>
      <w:numFmt w:val="decimal"/>
      <w:suff w:val="nothing"/>
      <w:lvlText w:val="%1、"/>
      <w:lvlJc w:val="left"/>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num w:numId="1">
    <w:abstractNumId w:val="17"/>
  </w:num>
  <w:num w:numId="2">
    <w:abstractNumId w:val="11"/>
  </w:num>
  <w:num w:numId="3">
    <w:abstractNumId w:val="15"/>
  </w:num>
  <w:num w:numId="4">
    <w:abstractNumId w:val="25"/>
  </w:num>
  <w:num w:numId="5">
    <w:abstractNumId w:val="16"/>
  </w:num>
  <w:num w:numId="6">
    <w:abstractNumId w:val="9"/>
  </w:num>
  <w:num w:numId="7">
    <w:abstractNumId w:val="23"/>
  </w:num>
  <w:num w:numId="8">
    <w:abstractNumId w:val="28"/>
  </w:num>
  <w:num w:numId="9">
    <w:abstractNumId w:val="13"/>
  </w:num>
  <w:num w:numId="10">
    <w:abstractNumId w:val="8"/>
  </w:num>
  <w:num w:numId="11">
    <w:abstractNumId w:val="27"/>
  </w:num>
  <w:num w:numId="12">
    <w:abstractNumId w:val="24"/>
  </w:num>
  <w:num w:numId="13">
    <w:abstractNumId w:val="29"/>
  </w:num>
  <w:num w:numId="14">
    <w:abstractNumId w:val="14"/>
  </w:num>
  <w:num w:numId="15">
    <w:abstractNumId w:val="12"/>
  </w:num>
  <w:num w:numId="16">
    <w:abstractNumId w:val="26"/>
  </w:num>
  <w:num w:numId="17">
    <w:abstractNumId w:val="20"/>
  </w:num>
  <w:num w:numId="18">
    <w:abstractNumId w:val="30"/>
  </w:num>
  <w:num w:numId="19">
    <w:abstractNumId w:val="5"/>
  </w:num>
  <w:num w:numId="20">
    <w:abstractNumId w:val="22"/>
  </w:num>
  <w:num w:numId="21">
    <w:abstractNumId w:val="6"/>
  </w:num>
  <w:num w:numId="22">
    <w:abstractNumId w:val="0"/>
  </w:num>
  <w:num w:numId="23">
    <w:abstractNumId w:val="18"/>
  </w:num>
  <w:num w:numId="24">
    <w:abstractNumId w:val="4"/>
  </w:num>
  <w:num w:numId="25">
    <w:abstractNumId w:val="21"/>
  </w:num>
  <w:num w:numId="26">
    <w:abstractNumId w:val="10"/>
  </w:num>
  <w:num w:numId="27">
    <w:abstractNumId w:val="1"/>
  </w:num>
  <w:num w:numId="28">
    <w:abstractNumId w:val="3"/>
  </w:num>
  <w:num w:numId="29">
    <w:abstractNumId w:val="19"/>
  </w:num>
  <w:num w:numId="30">
    <w:abstractNumId w:val="7"/>
  </w:num>
  <w:num w:numId="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0"/>
  <w:bordersDoNotSurroundFooter w:val="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3ZjBiYTM5YzYxNDE1MjhiM2EzOWIzOGY4MmQ4N2MifQ=="/>
  </w:docVars>
  <w:rsids>
    <w:rsidRoot w:val="00172A27"/>
    <w:rsid w:val="00000244"/>
    <w:rsid w:val="00000BB3"/>
    <w:rsid w:val="0000185F"/>
    <w:rsid w:val="00004B91"/>
    <w:rsid w:val="00004E32"/>
    <w:rsid w:val="0000586F"/>
    <w:rsid w:val="00013D86"/>
    <w:rsid w:val="00013E02"/>
    <w:rsid w:val="0002143C"/>
    <w:rsid w:val="00025A65"/>
    <w:rsid w:val="00026C31"/>
    <w:rsid w:val="00027280"/>
    <w:rsid w:val="000320A7"/>
    <w:rsid w:val="000325EA"/>
    <w:rsid w:val="00035925"/>
    <w:rsid w:val="00036C2C"/>
    <w:rsid w:val="00045A7C"/>
    <w:rsid w:val="00055371"/>
    <w:rsid w:val="00056A24"/>
    <w:rsid w:val="00057CE5"/>
    <w:rsid w:val="000607A3"/>
    <w:rsid w:val="0006373C"/>
    <w:rsid w:val="000657F7"/>
    <w:rsid w:val="00067CDF"/>
    <w:rsid w:val="00074FBE"/>
    <w:rsid w:val="0007762A"/>
    <w:rsid w:val="00081F6E"/>
    <w:rsid w:val="00083A09"/>
    <w:rsid w:val="0009005E"/>
    <w:rsid w:val="000918A9"/>
    <w:rsid w:val="00092001"/>
    <w:rsid w:val="00092618"/>
    <w:rsid w:val="00092857"/>
    <w:rsid w:val="00092BD8"/>
    <w:rsid w:val="000964C7"/>
    <w:rsid w:val="000979D9"/>
    <w:rsid w:val="000A20A9"/>
    <w:rsid w:val="000A48B1"/>
    <w:rsid w:val="000B2F0E"/>
    <w:rsid w:val="000B3143"/>
    <w:rsid w:val="000B405D"/>
    <w:rsid w:val="000C2BE6"/>
    <w:rsid w:val="000C6B05"/>
    <w:rsid w:val="000C6DD6"/>
    <w:rsid w:val="000C73D4"/>
    <w:rsid w:val="000D3D4C"/>
    <w:rsid w:val="000D4F51"/>
    <w:rsid w:val="000D718B"/>
    <w:rsid w:val="000E0C46"/>
    <w:rsid w:val="000E15EE"/>
    <w:rsid w:val="000E6DA3"/>
    <w:rsid w:val="000F030C"/>
    <w:rsid w:val="000F129C"/>
    <w:rsid w:val="000F174F"/>
    <w:rsid w:val="00104E29"/>
    <w:rsid w:val="001056DE"/>
    <w:rsid w:val="001124C0"/>
    <w:rsid w:val="0011406D"/>
    <w:rsid w:val="00117A25"/>
    <w:rsid w:val="00121293"/>
    <w:rsid w:val="0013175F"/>
    <w:rsid w:val="0013364D"/>
    <w:rsid w:val="00133807"/>
    <w:rsid w:val="001343BB"/>
    <w:rsid w:val="00135511"/>
    <w:rsid w:val="001512B4"/>
    <w:rsid w:val="001620A5"/>
    <w:rsid w:val="00164E53"/>
    <w:rsid w:val="0016699D"/>
    <w:rsid w:val="001670D9"/>
    <w:rsid w:val="00172A27"/>
    <w:rsid w:val="00175159"/>
    <w:rsid w:val="00175AD7"/>
    <w:rsid w:val="00176208"/>
    <w:rsid w:val="0017780C"/>
    <w:rsid w:val="001806DE"/>
    <w:rsid w:val="001813B2"/>
    <w:rsid w:val="0018211B"/>
    <w:rsid w:val="00183FE1"/>
    <w:rsid w:val="001840D3"/>
    <w:rsid w:val="00184782"/>
    <w:rsid w:val="00187A8A"/>
    <w:rsid w:val="001900F8"/>
    <w:rsid w:val="00191258"/>
    <w:rsid w:val="00192680"/>
    <w:rsid w:val="00193037"/>
    <w:rsid w:val="00193375"/>
    <w:rsid w:val="00193A2C"/>
    <w:rsid w:val="001A288E"/>
    <w:rsid w:val="001B6DC2"/>
    <w:rsid w:val="001B754B"/>
    <w:rsid w:val="001C0903"/>
    <w:rsid w:val="001C149C"/>
    <w:rsid w:val="001C21AC"/>
    <w:rsid w:val="001C3689"/>
    <w:rsid w:val="001C47BA"/>
    <w:rsid w:val="001C59EA"/>
    <w:rsid w:val="001D406C"/>
    <w:rsid w:val="001D41EE"/>
    <w:rsid w:val="001D4BEB"/>
    <w:rsid w:val="001D71E6"/>
    <w:rsid w:val="001E0380"/>
    <w:rsid w:val="001E0B1B"/>
    <w:rsid w:val="001E13B1"/>
    <w:rsid w:val="001E2153"/>
    <w:rsid w:val="001F3A19"/>
    <w:rsid w:val="002009E4"/>
    <w:rsid w:val="00201053"/>
    <w:rsid w:val="0020251B"/>
    <w:rsid w:val="002073D3"/>
    <w:rsid w:val="002113FA"/>
    <w:rsid w:val="00215D48"/>
    <w:rsid w:val="0021624B"/>
    <w:rsid w:val="0022185E"/>
    <w:rsid w:val="00227FED"/>
    <w:rsid w:val="0023030A"/>
    <w:rsid w:val="00230F08"/>
    <w:rsid w:val="00230F0A"/>
    <w:rsid w:val="00234467"/>
    <w:rsid w:val="00235BE6"/>
    <w:rsid w:val="00237D8D"/>
    <w:rsid w:val="00241DA2"/>
    <w:rsid w:val="00247FEE"/>
    <w:rsid w:val="00250E7D"/>
    <w:rsid w:val="002523DB"/>
    <w:rsid w:val="002527DD"/>
    <w:rsid w:val="00252DAA"/>
    <w:rsid w:val="002565D5"/>
    <w:rsid w:val="002622C0"/>
    <w:rsid w:val="002778AE"/>
    <w:rsid w:val="0028269A"/>
    <w:rsid w:val="00283590"/>
    <w:rsid w:val="00286973"/>
    <w:rsid w:val="00287674"/>
    <w:rsid w:val="002938A4"/>
    <w:rsid w:val="00294E70"/>
    <w:rsid w:val="002954B8"/>
    <w:rsid w:val="002967B2"/>
    <w:rsid w:val="002A1924"/>
    <w:rsid w:val="002A7420"/>
    <w:rsid w:val="002A7A7E"/>
    <w:rsid w:val="002B0F12"/>
    <w:rsid w:val="002B1308"/>
    <w:rsid w:val="002B31E3"/>
    <w:rsid w:val="002B4554"/>
    <w:rsid w:val="002B707C"/>
    <w:rsid w:val="002C72D8"/>
    <w:rsid w:val="002D11FA"/>
    <w:rsid w:val="002D17BC"/>
    <w:rsid w:val="002D19A4"/>
    <w:rsid w:val="002D1CD6"/>
    <w:rsid w:val="002D2FB9"/>
    <w:rsid w:val="002D6352"/>
    <w:rsid w:val="002D6A95"/>
    <w:rsid w:val="002E0DDF"/>
    <w:rsid w:val="002E2906"/>
    <w:rsid w:val="002E5635"/>
    <w:rsid w:val="002E64C3"/>
    <w:rsid w:val="002E6A2C"/>
    <w:rsid w:val="002F00DF"/>
    <w:rsid w:val="002F035E"/>
    <w:rsid w:val="002F0FE8"/>
    <w:rsid w:val="002F1D8C"/>
    <w:rsid w:val="002F21DA"/>
    <w:rsid w:val="002F34B8"/>
    <w:rsid w:val="00300C3D"/>
    <w:rsid w:val="00301F39"/>
    <w:rsid w:val="003020EB"/>
    <w:rsid w:val="00303D27"/>
    <w:rsid w:val="00305BEE"/>
    <w:rsid w:val="00313962"/>
    <w:rsid w:val="003234E0"/>
    <w:rsid w:val="00325926"/>
    <w:rsid w:val="00327A8A"/>
    <w:rsid w:val="003339A3"/>
    <w:rsid w:val="00336610"/>
    <w:rsid w:val="00341F5C"/>
    <w:rsid w:val="00343D23"/>
    <w:rsid w:val="00343F73"/>
    <w:rsid w:val="00345060"/>
    <w:rsid w:val="003451FB"/>
    <w:rsid w:val="00351E87"/>
    <w:rsid w:val="00352629"/>
    <w:rsid w:val="0035323B"/>
    <w:rsid w:val="00353D19"/>
    <w:rsid w:val="0035785A"/>
    <w:rsid w:val="003609D2"/>
    <w:rsid w:val="00363F22"/>
    <w:rsid w:val="00364940"/>
    <w:rsid w:val="00375564"/>
    <w:rsid w:val="00376489"/>
    <w:rsid w:val="00383191"/>
    <w:rsid w:val="00386DED"/>
    <w:rsid w:val="003912E7"/>
    <w:rsid w:val="00393947"/>
    <w:rsid w:val="00395141"/>
    <w:rsid w:val="003A2275"/>
    <w:rsid w:val="003A6A4F"/>
    <w:rsid w:val="003A7088"/>
    <w:rsid w:val="003B00DF"/>
    <w:rsid w:val="003B1275"/>
    <w:rsid w:val="003B1778"/>
    <w:rsid w:val="003C11CB"/>
    <w:rsid w:val="003C3017"/>
    <w:rsid w:val="003C6A77"/>
    <w:rsid w:val="003C75F3"/>
    <w:rsid w:val="003C78A3"/>
    <w:rsid w:val="003D36AB"/>
    <w:rsid w:val="003E01BA"/>
    <w:rsid w:val="003E1417"/>
    <w:rsid w:val="003E1867"/>
    <w:rsid w:val="003E5729"/>
    <w:rsid w:val="003E724E"/>
    <w:rsid w:val="003F1D40"/>
    <w:rsid w:val="003F22BB"/>
    <w:rsid w:val="003F2A5B"/>
    <w:rsid w:val="003F4EE0"/>
    <w:rsid w:val="003F5559"/>
    <w:rsid w:val="00400473"/>
    <w:rsid w:val="004009F9"/>
    <w:rsid w:val="00402153"/>
    <w:rsid w:val="00402E26"/>
    <w:rsid w:val="00402FC1"/>
    <w:rsid w:val="004200D9"/>
    <w:rsid w:val="00425082"/>
    <w:rsid w:val="00431DEB"/>
    <w:rsid w:val="004338AD"/>
    <w:rsid w:val="0044259D"/>
    <w:rsid w:val="004439D9"/>
    <w:rsid w:val="00446B29"/>
    <w:rsid w:val="004524BE"/>
    <w:rsid w:val="00453F9A"/>
    <w:rsid w:val="00454CC3"/>
    <w:rsid w:val="00461155"/>
    <w:rsid w:val="00464903"/>
    <w:rsid w:val="00471E91"/>
    <w:rsid w:val="00474079"/>
    <w:rsid w:val="00474675"/>
    <w:rsid w:val="0047470C"/>
    <w:rsid w:val="00484C88"/>
    <w:rsid w:val="00495B1D"/>
    <w:rsid w:val="004A203E"/>
    <w:rsid w:val="004A3542"/>
    <w:rsid w:val="004A35F9"/>
    <w:rsid w:val="004A4662"/>
    <w:rsid w:val="004A7E02"/>
    <w:rsid w:val="004B0A4A"/>
    <w:rsid w:val="004B157A"/>
    <w:rsid w:val="004B24C1"/>
    <w:rsid w:val="004B3092"/>
    <w:rsid w:val="004B49B1"/>
    <w:rsid w:val="004B557C"/>
    <w:rsid w:val="004C292F"/>
    <w:rsid w:val="004C657F"/>
    <w:rsid w:val="004D306F"/>
    <w:rsid w:val="004D4B02"/>
    <w:rsid w:val="004D4F76"/>
    <w:rsid w:val="004E4B13"/>
    <w:rsid w:val="004E4B8C"/>
    <w:rsid w:val="004E5A47"/>
    <w:rsid w:val="005036E2"/>
    <w:rsid w:val="00510280"/>
    <w:rsid w:val="00512405"/>
    <w:rsid w:val="00513D73"/>
    <w:rsid w:val="005148B3"/>
    <w:rsid w:val="00514A43"/>
    <w:rsid w:val="00515E9C"/>
    <w:rsid w:val="005174E5"/>
    <w:rsid w:val="00520898"/>
    <w:rsid w:val="00522393"/>
    <w:rsid w:val="00522620"/>
    <w:rsid w:val="00525656"/>
    <w:rsid w:val="00525BF3"/>
    <w:rsid w:val="00527A4D"/>
    <w:rsid w:val="00534C02"/>
    <w:rsid w:val="0054044C"/>
    <w:rsid w:val="0054264B"/>
    <w:rsid w:val="00543786"/>
    <w:rsid w:val="00545A49"/>
    <w:rsid w:val="005463CC"/>
    <w:rsid w:val="00546D0D"/>
    <w:rsid w:val="0055153A"/>
    <w:rsid w:val="005533D7"/>
    <w:rsid w:val="00554B63"/>
    <w:rsid w:val="00562CF6"/>
    <w:rsid w:val="0056544B"/>
    <w:rsid w:val="00567177"/>
    <w:rsid w:val="005703DE"/>
    <w:rsid w:val="005710BC"/>
    <w:rsid w:val="00575374"/>
    <w:rsid w:val="005755F1"/>
    <w:rsid w:val="00582BBE"/>
    <w:rsid w:val="0058464E"/>
    <w:rsid w:val="0058650E"/>
    <w:rsid w:val="005A01CB"/>
    <w:rsid w:val="005A19A9"/>
    <w:rsid w:val="005A4CE8"/>
    <w:rsid w:val="005A58FF"/>
    <w:rsid w:val="005A5EAF"/>
    <w:rsid w:val="005A6491"/>
    <w:rsid w:val="005A64C0"/>
    <w:rsid w:val="005B1985"/>
    <w:rsid w:val="005B3C11"/>
    <w:rsid w:val="005B680A"/>
    <w:rsid w:val="005C1C28"/>
    <w:rsid w:val="005C43D0"/>
    <w:rsid w:val="005C6DB5"/>
    <w:rsid w:val="005D3842"/>
    <w:rsid w:val="005E0393"/>
    <w:rsid w:val="005E19E7"/>
    <w:rsid w:val="005E2392"/>
    <w:rsid w:val="005E2FAB"/>
    <w:rsid w:val="005F0AC9"/>
    <w:rsid w:val="00601622"/>
    <w:rsid w:val="0061037E"/>
    <w:rsid w:val="00613FAA"/>
    <w:rsid w:val="00616C36"/>
    <w:rsid w:val="0061716C"/>
    <w:rsid w:val="006171AF"/>
    <w:rsid w:val="00617868"/>
    <w:rsid w:val="00620FCB"/>
    <w:rsid w:val="006243A1"/>
    <w:rsid w:val="00626005"/>
    <w:rsid w:val="00627E51"/>
    <w:rsid w:val="00632E56"/>
    <w:rsid w:val="00635CBA"/>
    <w:rsid w:val="00636EFC"/>
    <w:rsid w:val="0064338B"/>
    <w:rsid w:val="0064568C"/>
    <w:rsid w:val="00646542"/>
    <w:rsid w:val="006504F4"/>
    <w:rsid w:val="0065366F"/>
    <w:rsid w:val="00654BC9"/>
    <w:rsid w:val="006552FD"/>
    <w:rsid w:val="00656F0B"/>
    <w:rsid w:val="00663733"/>
    <w:rsid w:val="00663AF3"/>
    <w:rsid w:val="00665E4B"/>
    <w:rsid w:val="00666B6C"/>
    <w:rsid w:val="00670BA8"/>
    <w:rsid w:val="00677B54"/>
    <w:rsid w:val="00682682"/>
    <w:rsid w:val="00682702"/>
    <w:rsid w:val="00692368"/>
    <w:rsid w:val="00695192"/>
    <w:rsid w:val="00697143"/>
    <w:rsid w:val="006A2EBC"/>
    <w:rsid w:val="006A5EA0"/>
    <w:rsid w:val="006A783B"/>
    <w:rsid w:val="006A7B33"/>
    <w:rsid w:val="006B4E13"/>
    <w:rsid w:val="006B75DD"/>
    <w:rsid w:val="006C047C"/>
    <w:rsid w:val="006C3D8B"/>
    <w:rsid w:val="006C67E0"/>
    <w:rsid w:val="006C7ABA"/>
    <w:rsid w:val="006C7ED1"/>
    <w:rsid w:val="006D0A13"/>
    <w:rsid w:val="006D0D60"/>
    <w:rsid w:val="006D1122"/>
    <w:rsid w:val="006D317E"/>
    <w:rsid w:val="006D3B1E"/>
    <w:rsid w:val="006D3C00"/>
    <w:rsid w:val="006E06AD"/>
    <w:rsid w:val="006E3675"/>
    <w:rsid w:val="006E4A7F"/>
    <w:rsid w:val="006E7DF6"/>
    <w:rsid w:val="006F0967"/>
    <w:rsid w:val="006F2274"/>
    <w:rsid w:val="006F64A0"/>
    <w:rsid w:val="0070038F"/>
    <w:rsid w:val="007027B1"/>
    <w:rsid w:val="0070286C"/>
    <w:rsid w:val="00704DF6"/>
    <w:rsid w:val="0070604B"/>
    <w:rsid w:val="0070641D"/>
    <w:rsid w:val="0070651C"/>
    <w:rsid w:val="007132A3"/>
    <w:rsid w:val="00716421"/>
    <w:rsid w:val="00721419"/>
    <w:rsid w:val="00724EFB"/>
    <w:rsid w:val="00726575"/>
    <w:rsid w:val="00730310"/>
    <w:rsid w:val="00736AE9"/>
    <w:rsid w:val="00740A49"/>
    <w:rsid w:val="007419C3"/>
    <w:rsid w:val="00746559"/>
    <w:rsid w:val="007467A7"/>
    <w:rsid w:val="007469DD"/>
    <w:rsid w:val="0074741B"/>
    <w:rsid w:val="0074759E"/>
    <w:rsid w:val="007478EA"/>
    <w:rsid w:val="0075415C"/>
    <w:rsid w:val="00754276"/>
    <w:rsid w:val="00757097"/>
    <w:rsid w:val="00761E8B"/>
    <w:rsid w:val="00763502"/>
    <w:rsid w:val="00765287"/>
    <w:rsid w:val="007864EB"/>
    <w:rsid w:val="007913AB"/>
    <w:rsid w:val="007914F7"/>
    <w:rsid w:val="00792451"/>
    <w:rsid w:val="00795C73"/>
    <w:rsid w:val="007A4809"/>
    <w:rsid w:val="007B1625"/>
    <w:rsid w:val="007B706E"/>
    <w:rsid w:val="007B71EB"/>
    <w:rsid w:val="007C0748"/>
    <w:rsid w:val="007C6205"/>
    <w:rsid w:val="007C686A"/>
    <w:rsid w:val="007C728E"/>
    <w:rsid w:val="007D0BE0"/>
    <w:rsid w:val="007D204F"/>
    <w:rsid w:val="007D2C53"/>
    <w:rsid w:val="007D3AD1"/>
    <w:rsid w:val="007D3D60"/>
    <w:rsid w:val="007E1980"/>
    <w:rsid w:val="007E4B76"/>
    <w:rsid w:val="007E5043"/>
    <w:rsid w:val="007E5EA8"/>
    <w:rsid w:val="007E6AC0"/>
    <w:rsid w:val="007F0CF1"/>
    <w:rsid w:val="007F12A5"/>
    <w:rsid w:val="007F19A8"/>
    <w:rsid w:val="007F2D74"/>
    <w:rsid w:val="007F3FB7"/>
    <w:rsid w:val="007F4CF1"/>
    <w:rsid w:val="007F6380"/>
    <w:rsid w:val="007F758D"/>
    <w:rsid w:val="007F775F"/>
    <w:rsid w:val="007F7D52"/>
    <w:rsid w:val="0080484A"/>
    <w:rsid w:val="00805589"/>
    <w:rsid w:val="008057A5"/>
    <w:rsid w:val="00805E2F"/>
    <w:rsid w:val="0080654C"/>
    <w:rsid w:val="008071C6"/>
    <w:rsid w:val="00817A00"/>
    <w:rsid w:val="008202CB"/>
    <w:rsid w:val="00820B95"/>
    <w:rsid w:val="00825891"/>
    <w:rsid w:val="00831631"/>
    <w:rsid w:val="0083228D"/>
    <w:rsid w:val="00833D07"/>
    <w:rsid w:val="00835DB3"/>
    <w:rsid w:val="0083617B"/>
    <w:rsid w:val="00836342"/>
    <w:rsid w:val="00836A2D"/>
    <w:rsid w:val="008371BD"/>
    <w:rsid w:val="00840EBF"/>
    <w:rsid w:val="008504A8"/>
    <w:rsid w:val="00851B58"/>
    <w:rsid w:val="0085282E"/>
    <w:rsid w:val="00864AFE"/>
    <w:rsid w:val="0087198C"/>
    <w:rsid w:val="0087250C"/>
    <w:rsid w:val="00872C1F"/>
    <w:rsid w:val="00873B42"/>
    <w:rsid w:val="00877CB0"/>
    <w:rsid w:val="008805AC"/>
    <w:rsid w:val="00880D1A"/>
    <w:rsid w:val="00884468"/>
    <w:rsid w:val="008856D8"/>
    <w:rsid w:val="00892E82"/>
    <w:rsid w:val="00893277"/>
    <w:rsid w:val="00895FA9"/>
    <w:rsid w:val="008A1035"/>
    <w:rsid w:val="008A6E08"/>
    <w:rsid w:val="008A7C7D"/>
    <w:rsid w:val="008C0BE9"/>
    <w:rsid w:val="008C1B58"/>
    <w:rsid w:val="008C39AE"/>
    <w:rsid w:val="008C40DF"/>
    <w:rsid w:val="008C590D"/>
    <w:rsid w:val="008D447E"/>
    <w:rsid w:val="008D7566"/>
    <w:rsid w:val="008E031B"/>
    <w:rsid w:val="008E0560"/>
    <w:rsid w:val="008E2D8C"/>
    <w:rsid w:val="008E7029"/>
    <w:rsid w:val="008E7EF6"/>
    <w:rsid w:val="008F1F98"/>
    <w:rsid w:val="008F2340"/>
    <w:rsid w:val="008F2790"/>
    <w:rsid w:val="008F6758"/>
    <w:rsid w:val="009040DD"/>
    <w:rsid w:val="00905B47"/>
    <w:rsid w:val="0090690F"/>
    <w:rsid w:val="00906E2F"/>
    <w:rsid w:val="00911391"/>
    <w:rsid w:val="0091331C"/>
    <w:rsid w:val="009137BD"/>
    <w:rsid w:val="0091503D"/>
    <w:rsid w:val="009279DE"/>
    <w:rsid w:val="00927AB9"/>
    <w:rsid w:val="00927B37"/>
    <w:rsid w:val="00930116"/>
    <w:rsid w:val="00930625"/>
    <w:rsid w:val="00941082"/>
    <w:rsid w:val="0094212C"/>
    <w:rsid w:val="00944853"/>
    <w:rsid w:val="0094609D"/>
    <w:rsid w:val="009477B8"/>
    <w:rsid w:val="0095378C"/>
    <w:rsid w:val="00954689"/>
    <w:rsid w:val="0095472A"/>
    <w:rsid w:val="0096085A"/>
    <w:rsid w:val="009617C9"/>
    <w:rsid w:val="00961C93"/>
    <w:rsid w:val="00962B4E"/>
    <w:rsid w:val="00965228"/>
    <w:rsid w:val="00965324"/>
    <w:rsid w:val="0097091E"/>
    <w:rsid w:val="009760D3"/>
    <w:rsid w:val="00977132"/>
    <w:rsid w:val="00981A4B"/>
    <w:rsid w:val="00982250"/>
    <w:rsid w:val="00982501"/>
    <w:rsid w:val="00983D33"/>
    <w:rsid w:val="009877D3"/>
    <w:rsid w:val="00994E8F"/>
    <w:rsid w:val="009951DC"/>
    <w:rsid w:val="009959BB"/>
    <w:rsid w:val="00997158"/>
    <w:rsid w:val="009A0827"/>
    <w:rsid w:val="009A1110"/>
    <w:rsid w:val="009A3A7C"/>
    <w:rsid w:val="009A5D33"/>
    <w:rsid w:val="009A7D84"/>
    <w:rsid w:val="009B2323"/>
    <w:rsid w:val="009B2ADB"/>
    <w:rsid w:val="009B603A"/>
    <w:rsid w:val="009C2D0E"/>
    <w:rsid w:val="009C3DAC"/>
    <w:rsid w:val="009C42E0"/>
    <w:rsid w:val="009D3230"/>
    <w:rsid w:val="009D5362"/>
    <w:rsid w:val="009E0D86"/>
    <w:rsid w:val="009E1415"/>
    <w:rsid w:val="009E6116"/>
    <w:rsid w:val="009E7E25"/>
    <w:rsid w:val="00A02E43"/>
    <w:rsid w:val="00A05368"/>
    <w:rsid w:val="00A065F9"/>
    <w:rsid w:val="00A06F9E"/>
    <w:rsid w:val="00A07011"/>
    <w:rsid w:val="00A07F34"/>
    <w:rsid w:val="00A22154"/>
    <w:rsid w:val="00A24058"/>
    <w:rsid w:val="00A249A1"/>
    <w:rsid w:val="00A25BB2"/>
    <w:rsid w:val="00A25C38"/>
    <w:rsid w:val="00A35824"/>
    <w:rsid w:val="00A36BBE"/>
    <w:rsid w:val="00A37C20"/>
    <w:rsid w:val="00A40D9E"/>
    <w:rsid w:val="00A41DF7"/>
    <w:rsid w:val="00A420B1"/>
    <w:rsid w:val="00A42ECA"/>
    <w:rsid w:val="00A4307A"/>
    <w:rsid w:val="00A46DEF"/>
    <w:rsid w:val="00A47EBB"/>
    <w:rsid w:val="00A51CDD"/>
    <w:rsid w:val="00A563F8"/>
    <w:rsid w:val="00A56BBA"/>
    <w:rsid w:val="00A65D89"/>
    <w:rsid w:val="00A6730D"/>
    <w:rsid w:val="00A71625"/>
    <w:rsid w:val="00A71B9B"/>
    <w:rsid w:val="00A751C7"/>
    <w:rsid w:val="00A80008"/>
    <w:rsid w:val="00A83E7D"/>
    <w:rsid w:val="00A84CE5"/>
    <w:rsid w:val="00A87844"/>
    <w:rsid w:val="00A9227B"/>
    <w:rsid w:val="00A97A55"/>
    <w:rsid w:val="00AA038C"/>
    <w:rsid w:val="00AA7A09"/>
    <w:rsid w:val="00AB3B50"/>
    <w:rsid w:val="00AB7C26"/>
    <w:rsid w:val="00AC05B1"/>
    <w:rsid w:val="00AC450C"/>
    <w:rsid w:val="00AC4B64"/>
    <w:rsid w:val="00AD340B"/>
    <w:rsid w:val="00AD356C"/>
    <w:rsid w:val="00AD4ABD"/>
    <w:rsid w:val="00AE2914"/>
    <w:rsid w:val="00AE6D15"/>
    <w:rsid w:val="00AE7023"/>
    <w:rsid w:val="00AE78AA"/>
    <w:rsid w:val="00AF0EF3"/>
    <w:rsid w:val="00AF1F49"/>
    <w:rsid w:val="00AF2D81"/>
    <w:rsid w:val="00AF39FF"/>
    <w:rsid w:val="00AF6D9C"/>
    <w:rsid w:val="00B04182"/>
    <w:rsid w:val="00B05410"/>
    <w:rsid w:val="00B05ECF"/>
    <w:rsid w:val="00B07AE3"/>
    <w:rsid w:val="00B11430"/>
    <w:rsid w:val="00B12A5D"/>
    <w:rsid w:val="00B242F4"/>
    <w:rsid w:val="00B2477A"/>
    <w:rsid w:val="00B24D1C"/>
    <w:rsid w:val="00B24FF7"/>
    <w:rsid w:val="00B30072"/>
    <w:rsid w:val="00B30481"/>
    <w:rsid w:val="00B3312F"/>
    <w:rsid w:val="00B353EB"/>
    <w:rsid w:val="00B4016F"/>
    <w:rsid w:val="00B407AC"/>
    <w:rsid w:val="00B439C4"/>
    <w:rsid w:val="00B4535E"/>
    <w:rsid w:val="00B5296D"/>
    <w:rsid w:val="00B52A8C"/>
    <w:rsid w:val="00B54707"/>
    <w:rsid w:val="00B56155"/>
    <w:rsid w:val="00B56947"/>
    <w:rsid w:val="00B62F11"/>
    <w:rsid w:val="00B63042"/>
    <w:rsid w:val="00B636A8"/>
    <w:rsid w:val="00B665C6"/>
    <w:rsid w:val="00B72AD8"/>
    <w:rsid w:val="00B74441"/>
    <w:rsid w:val="00B758A5"/>
    <w:rsid w:val="00B805AF"/>
    <w:rsid w:val="00B82BD5"/>
    <w:rsid w:val="00B8309D"/>
    <w:rsid w:val="00B85F7F"/>
    <w:rsid w:val="00B869EC"/>
    <w:rsid w:val="00B87542"/>
    <w:rsid w:val="00B92383"/>
    <w:rsid w:val="00B9397A"/>
    <w:rsid w:val="00B9633D"/>
    <w:rsid w:val="00B967D5"/>
    <w:rsid w:val="00BA2EBE"/>
    <w:rsid w:val="00BB0F28"/>
    <w:rsid w:val="00BB24A9"/>
    <w:rsid w:val="00BB458A"/>
    <w:rsid w:val="00BB693F"/>
    <w:rsid w:val="00BC5953"/>
    <w:rsid w:val="00BD00D3"/>
    <w:rsid w:val="00BD1659"/>
    <w:rsid w:val="00BD3AA9"/>
    <w:rsid w:val="00BD4A18"/>
    <w:rsid w:val="00BD6DB2"/>
    <w:rsid w:val="00BD73A1"/>
    <w:rsid w:val="00BE11CF"/>
    <w:rsid w:val="00BE21AB"/>
    <w:rsid w:val="00BE55CB"/>
    <w:rsid w:val="00BE7067"/>
    <w:rsid w:val="00BF3BB2"/>
    <w:rsid w:val="00BF617A"/>
    <w:rsid w:val="00C0379D"/>
    <w:rsid w:val="00C03931"/>
    <w:rsid w:val="00C05FE3"/>
    <w:rsid w:val="00C11DA9"/>
    <w:rsid w:val="00C138E3"/>
    <w:rsid w:val="00C17B73"/>
    <w:rsid w:val="00C2136D"/>
    <w:rsid w:val="00C214EE"/>
    <w:rsid w:val="00C2314B"/>
    <w:rsid w:val="00C244A0"/>
    <w:rsid w:val="00C24971"/>
    <w:rsid w:val="00C25355"/>
    <w:rsid w:val="00C26BE5"/>
    <w:rsid w:val="00C26E4D"/>
    <w:rsid w:val="00C27909"/>
    <w:rsid w:val="00C27B03"/>
    <w:rsid w:val="00C314E1"/>
    <w:rsid w:val="00C34397"/>
    <w:rsid w:val="00C40503"/>
    <w:rsid w:val="00C4095D"/>
    <w:rsid w:val="00C56C47"/>
    <w:rsid w:val="00C57A9C"/>
    <w:rsid w:val="00C601D2"/>
    <w:rsid w:val="00C65BCC"/>
    <w:rsid w:val="00C66970"/>
    <w:rsid w:val="00C71F4D"/>
    <w:rsid w:val="00C7411C"/>
    <w:rsid w:val="00C8691C"/>
    <w:rsid w:val="00C86CB4"/>
    <w:rsid w:val="00C96295"/>
    <w:rsid w:val="00C96364"/>
    <w:rsid w:val="00C973F4"/>
    <w:rsid w:val="00CA03DF"/>
    <w:rsid w:val="00CA168A"/>
    <w:rsid w:val="00CA2097"/>
    <w:rsid w:val="00CA357E"/>
    <w:rsid w:val="00CA44F9"/>
    <w:rsid w:val="00CA4A69"/>
    <w:rsid w:val="00CB722E"/>
    <w:rsid w:val="00CC3E0C"/>
    <w:rsid w:val="00CC58D3"/>
    <w:rsid w:val="00CC784D"/>
    <w:rsid w:val="00CE7082"/>
    <w:rsid w:val="00CF1E15"/>
    <w:rsid w:val="00D00A8D"/>
    <w:rsid w:val="00D03268"/>
    <w:rsid w:val="00D0337B"/>
    <w:rsid w:val="00D07777"/>
    <w:rsid w:val="00D079B2"/>
    <w:rsid w:val="00D114E9"/>
    <w:rsid w:val="00D17CD8"/>
    <w:rsid w:val="00D224DD"/>
    <w:rsid w:val="00D2527C"/>
    <w:rsid w:val="00D313B3"/>
    <w:rsid w:val="00D35B8E"/>
    <w:rsid w:val="00D40F07"/>
    <w:rsid w:val="00D429C6"/>
    <w:rsid w:val="00D47748"/>
    <w:rsid w:val="00D5178F"/>
    <w:rsid w:val="00D518DF"/>
    <w:rsid w:val="00D52815"/>
    <w:rsid w:val="00D54CC3"/>
    <w:rsid w:val="00D6041A"/>
    <w:rsid w:val="00D61258"/>
    <w:rsid w:val="00D633EB"/>
    <w:rsid w:val="00D736AC"/>
    <w:rsid w:val="00D73849"/>
    <w:rsid w:val="00D747AA"/>
    <w:rsid w:val="00D75A7E"/>
    <w:rsid w:val="00D82FF7"/>
    <w:rsid w:val="00D847FE"/>
    <w:rsid w:val="00D86B9C"/>
    <w:rsid w:val="00D900CD"/>
    <w:rsid w:val="00D90A39"/>
    <w:rsid w:val="00D964EA"/>
    <w:rsid w:val="00D966D0"/>
    <w:rsid w:val="00DA0C59"/>
    <w:rsid w:val="00DA3991"/>
    <w:rsid w:val="00DA72A1"/>
    <w:rsid w:val="00DA7F95"/>
    <w:rsid w:val="00DB01F1"/>
    <w:rsid w:val="00DB3222"/>
    <w:rsid w:val="00DB7E6C"/>
    <w:rsid w:val="00DC4F68"/>
    <w:rsid w:val="00DC64B0"/>
    <w:rsid w:val="00DC6B1E"/>
    <w:rsid w:val="00DD252A"/>
    <w:rsid w:val="00DD5949"/>
    <w:rsid w:val="00DD5A29"/>
    <w:rsid w:val="00DD5D9D"/>
    <w:rsid w:val="00DD66C1"/>
    <w:rsid w:val="00DE35CB"/>
    <w:rsid w:val="00DF0EF0"/>
    <w:rsid w:val="00DF21E9"/>
    <w:rsid w:val="00DF22C7"/>
    <w:rsid w:val="00DF5CC9"/>
    <w:rsid w:val="00E00F14"/>
    <w:rsid w:val="00E01CB8"/>
    <w:rsid w:val="00E06386"/>
    <w:rsid w:val="00E075C5"/>
    <w:rsid w:val="00E1051A"/>
    <w:rsid w:val="00E11668"/>
    <w:rsid w:val="00E118E7"/>
    <w:rsid w:val="00E122B7"/>
    <w:rsid w:val="00E12604"/>
    <w:rsid w:val="00E21B55"/>
    <w:rsid w:val="00E221D3"/>
    <w:rsid w:val="00E2466A"/>
    <w:rsid w:val="00E24EB4"/>
    <w:rsid w:val="00E30635"/>
    <w:rsid w:val="00E320ED"/>
    <w:rsid w:val="00E33AFB"/>
    <w:rsid w:val="00E34218"/>
    <w:rsid w:val="00E4555B"/>
    <w:rsid w:val="00E46282"/>
    <w:rsid w:val="00E5216E"/>
    <w:rsid w:val="00E5529C"/>
    <w:rsid w:val="00E657C6"/>
    <w:rsid w:val="00E75D40"/>
    <w:rsid w:val="00E81965"/>
    <w:rsid w:val="00E82344"/>
    <w:rsid w:val="00E84C82"/>
    <w:rsid w:val="00E84D64"/>
    <w:rsid w:val="00E87408"/>
    <w:rsid w:val="00E914C4"/>
    <w:rsid w:val="00E934F5"/>
    <w:rsid w:val="00E96961"/>
    <w:rsid w:val="00EA72EC"/>
    <w:rsid w:val="00EB11CB"/>
    <w:rsid w:val="00EB1C71"/>
    <w:rsid w:val="00EB275A"/>
    <w:rsid w:val="00EB57CA"/>
    <w:rsid w:val="00EB786A"/>
    <w:rsid w:val="00EC1578"/>
    <w:rsid w:val="00EC1BFC"/>
    <w:rsid w:val="00EC1C72"/>
    <w:rsid w:val="00EC2DEA"/>
    <w:rsid w:val="00EC3356"/>
    <w:rsid w:val="00EC3CC9"/>
    <w:rsid w:val="00EC5D85"/>
    <w:rsid w:val="00EC680A"/>
    <w:rsid w:val="00ED3253"/>
    <w:rsid w:val="00ED511C"/>
    <w:rsid w:val="00ED7229"/>
    <w:rsid w:val="00EE25CB"/>
    <w:rsid w:val="00EE2BED"/>
    <w:rsid w:val="00EE374B"/>
    <w:rsid w:val="00EE4A87"/>
    <w:rsid w:val="00EE6E6B"/>
    <w:rsid w:val="00EF2869"/>
    <w:rsid w:val="00F05D60"/>
    <w:rsid w:val="00F07224"/>
    <w:rsid w:val="00F07FD3"/>
    <w:rsid w:val="00F11BB5"/>
    <w:rsid w:val="00F1296C"/>
    <w:rsid w:val="00F1417B"/>
    <w:rsid w:val="00F14497"/>
    <w:rsid w:val="00F1712D"/>
    <w:rsid w:val="00F17A17"/>
    <w:rsid w:val="00F208A0"/>
    <w:rsid w:val="00F2115E"/>
    <w:rsid w:val="00F27B3D"/>
    <w:rsid w:val="00F30ABD"/>
    <w:rsid w:val="00F34B99"/>
    <w:rsid w:val="00F40B02"/>
    <w:rsid w:val="00F41E81"/>
    <w:rsid w:val="00F51720"/>
    <w:rsid w:val="00F51CF2"/>
    <w:rsid w:val="00F52DAB"/>
    <w:rsid w:val="00F543F0"/>
    <w:rsid w:val="00F55E3E"/>
    <w:rsid w:val="00F57601"/>
    <w:rsid w:val="00F73F99"/>
    <w:rsid w:val="00F75F80"/>
    <w:rsid w:val="00F81D29"/>
    <w:rsid w:val="00F90BE5"/>
    <w:rsid w:val="00F91C4D"/>
    <w:rsid w:val="00F92FD9"/>
    <w:rsid w:val="00FA37B1"/>
    <w:rsid w:val="00FA3E0B"/>
    <w:rsid w:val="00FA5EF7"/>
    <w:rsid w:val="00FA6684"/>
    <w:rsid w:val="00FA731E"/>
    <w:rsid w:val="00FA7BD0"/>
    <w:rsid w:val="00FB1DCF"/>
    <w:rsid w:val="00FB2B38"/>
    <w:rsid w:val="00FB61CE"/>
    <w:rsid w:val="00FB7A07"/>
    <w:rsid w:val="00FC04CC"/>
    <w:rsid w:val="00FC2066"/>
    <w:rsid w:val="00FC6358"/>
    <w:rsid w:val="00FD1381"/>
    <w:rsid w:val="00FD320D"/>
    <w:rsid w:val="00FE1B98"/>
    <w:rsid w:val="00FE23DE"/>
    <w:rsid w:val="00FE3A71"/>
    <w:rsid w:val="00FF06BF"/>
    <w:rsid w:val="00FF1801"/>
    <w:rsid w:val="00FF6842"/>
    <w:rsid w:val="01620359"/>
    <w:rsid w:val="01621B28"/>
    <w:rsid w:val="01F114A6"/>
    <w:rsid w:val="02530CD2"/>
    <w:rsid w:val="02685C0C"/>
    <w:rsid w:val="02CE49BA"/>
    <w:rsid w:val="03407948"/>
    <w:rsid w:val="03701033"/>
    <w:rsid w:val="03B629A7"/>
    <w:rsid w:val="03BB7390"/>
    <w:rsid w:val="03EE5A89"/>
    <w:rsid w:val="0425785D"/>
    <w:rsid w:val="045126D0"/>
    <w:rsid w:val="047705F5"/>
    <w:rsid w:val="04EF4D28"/>
    <w:rsid w:val="0580326D"/>
    <w:rsid w:val="05847DB2"/>
    <w:rsid w:val="0616772D"/>
    <w:rsid w:val="06381AD9"/>
    <w:rsid w:val="0653264B"/>
    <w:rsid w:val="069375D7"/>
    <w:rsid w:val="069657D8"/>
    <w:rsid w:val="06E3065B"/>
    <w:rsid w:val="070D72A1"/>
    <w:rsid w:val="074707CC"/>
    <w:rsid w:val="074914DD"/>
    <w:rsid w:val="075449B1"/>
    <w:rsid w:val="080778A6"/>
    <w:rsid w:val="089D4136"/>
    <w:rsid w:val="08C07E24"/>
    <w:rsid w:val="08D343CC"/>
    <w:rsid w:val="08E53B03"/>
    <w:rsid w:val="09027C46"/>
    <w:rsid w:val="09BE1DEF"/>
    <w:rsid w:val="0A4707FD"/>
    <w:rsid w:val="0A620AA0"/>
    <w:rsid w:val="0A6D4116"/>
    <w:rsid w:val="0A874584"/>
    <w:rsid w:val="0A9A6B7F"/>
    <w:rsid w:val="0AAC68B2"/>
    <w:rsid w:val="0B085689"/>
    <w:rsid w:val="0B8D3582"/>
    <w:rsid w:val="0BB809D5"/>
    <w:rsid w:val="0C485EB3"/>
    <w:rsid w:val="0CAF2210"/>
    <w:rsid w:val="0CC53DA6"/>
    <w:rsid w:val="0CD1167F"/>
    <w:rsid w:val="0D885F71"/>
    <w:rsid w:val="0E5C591E"/>
    <w:rsid w:val="0E6C7887"/>
    <w:rsid w:val="0F1E59DC"/>
    <w:rsid w:val="0FE5143A"/>
    <w:rsid w:val="108F0808"/>
    <w:rsid w:val="10B34A9A"/>
    <w:rsid w:val="117F63E9"/>
    <w:rsid w:val="11866BD1"/>
    <w:rsid w:val="11CF2D47"/>
    <w:rsid w:val="11F83BA7"/>
    <w:rsid w:val="1205799E"/>
    <w:rsid w:val="129343C6"/>
    <w:rsid w:val="13025189"/>
    <w:rsid w:val="138C4573"/>
    <w:rsid w:val="14003866"/>
    <w:rsid w:val="14333BA0"/>
    <w:rsid w:val="1537655C"/>
    <w:rsid w:val="15466B49"/>
    <w:rsid w:val="15964EB1"/>
    <w:rsid w:val="15FB6878"/>
    <w:rsid w:val="16185BC4"/>
    <w:rsid w:val="1629525B"/>
    <w:rsid w:val="16651479"/>
    <w:rsid w:val="16B56AEF"/>
    <w:rsid w:val="16E65167"/>
    <w:rsid w:val="176C72CF"/>
    <w:rsid w:val="178E7A6B"/>
    <w:rsid w:val="17F6116D"/>
    <w:rsid w:val="182757CA"/>
    <w:rsid w:val="185A7353"/>
    <w:rsid w:val="18DF05DB"/>
    <w:rsid w:val="18ED6A14"/>
    <w:rsid w:val="192B2350"/>
    <w:rsid w:val="199227DE"/>
    <w:rsid w:val="1A4D616F"/>
    <w:rsid w:val="1ACF03B6"/>
    <w:rsid w:val="1B1A4F31"/>
    <w:rsid w:val="1B2B6E49"/>
    <w:rsid w:val="1B4D099D"/>
    <w:rsid w:val="1B854C33"/>
    <w:rsid w:val="1BC33A5C"/>
    <w:rsid w:val="1BE712FB"/>
    <w:rsid w:val="1BF4566B"/>
    <w:rsid w:val="1EA1074C"/>
    <w:rsid w:val="1EC458A0"/>
    <w:rsid w:val="1EF87EC0"/>
    <w:rsid w:val="1EFA3557"/>
    <w:rsid w:val="208848CB"/>
    <w:rsid w:val="211F3ADE"/>
    <w:rsid w:val="21840931"/>
    <w:rsid w:val="219E3703"/>
    <w:rsid w:val="21C16BCC"/>
    <w:rsid w:val="22054661"/>
    <w:rsid w:val="22B90AB1"/>
    <w:rsid w:val="22E20D9D"/>
    <w:rsid w:val="232956BD"/>
    <w:rsid w:val="23D5257E"/>
    <w:rsid w:val="23E40A13"/>
    <w:rsid w:val="241B04C9"/>
    <w:rsid w:val="24B95082"/>
    <w:rsid w:val="24BB054F"/>
    <w:rsid w:val="250B4952"/>
    <w:rsid w:val="25292219"/>
    <w:rsid w:val="25AB7A3A"/>
    <w:rsid w:val="268C786C"/>
    <w:rsid w:val="270F224B"/>
    <w:rsid w:val="272555CB"/>
    <w:rsid w:val="278F0C96"/>
    <w:rsid w:val="27E36C2E"/>
    <w:rsid w:val="287F0D0A"/>
    <w:rsid w:val="28FA107F"/>
    <w:rsid w:val="2AC46916"/>
    <w:rsid w:val="2B07400C"/>
    <w:rsid w:val="2B2B40AB"/>
    <w:rsid w:val="2B2C520F"/>
    <w:rsid w:val="2B992F56"/>
    <w:rsid w:val="2B9F1FE4"/>
    <w:rsid w:val="2BAF763B"/>
    <w:rsid w:val="2BBB580F"/>
    <w:rsid w:val="2C1001BA"/>
    <w:rsid w:val="2C696A69"/>
    <w:rsid w:val="2C846A0A"/>
    <w:rsid w:val="2C9D7891"/>
    <w:rsid w:val="2CD67704"/>
    <w:rsid w:val="2D391811"/>
    <w:rsid w:val="2D820DFF"/>
    <w:rsid w:val="2DAB037A"/>
    <w:rsid w:val="2DBA77C8"/>
    <w:rsid w:val="2DEC6433"/>
    <w:rsid w:val="2E514EF7"/>
    <w:rsid w:val="2ED61955"/>
    <w:rsid w:val="2EF06195"/>
    <w:rsid w:val="2F6A124C"/>
    <w:rsid w:val="2FAC4ADB"/>
    <w:rsid w:val="2FEB66AB"/>
    <w:rsid w:val="2FEC7CEF"/>
    <w:rsid w:val="300701D9"/>
    <w:rsid w:val="300C0E31"/>
    <w:rsid w:val="303577E6"/>
    <w:rsid w:val="30501E56"/>
    <w:rsid w:val="30765A61"/>
    <w:rsid w:val="309D3E96"/>
    <w:rsid w:val="310D4304"/>
    <w:rsid w:val="313034EA"/>
    <w:rsid w:val="31D41A4F"/>
    <w:rsid w:val="325476B9"/>
    <w:rsid w:val="32ED71B1"/>
    <w:rsid w:val="33A6194A"/>
    <w:rsid w:val="34AC1004"/>
    <w:rsid w:val="34EE16F2"/>
    <w:rsid w:val="35736459"/>
    <w:rsid w:val="35747E49"/>
    <w:rsid w:val="35B244CD"/>
    <w:rsid w:val="35D91063"/>
    <w:rsid w:val="36606A0E"/>
    <w:rsid w:val="37070849"/>
    <w:rsid w:val="374101FF"/>
    <w:rsid w:val="378725C8"/>
    <w:rsid w:val="382A5E7E"/>
    <w:rsid w:val="386E783E"/>
    <w:rsid w:val="387826B4"/>
    <w:rsid w:val="388B33D1"/>
    <w:rsid w:val="38AE6CD0"/>
    <w:rsid w:val="39111E53"/>
    <w:rsid w:val="39290F4A"/>
    <w:rsid w:val="39627BB1"/>
    <w:rsid w:val="39715E9F"/>
    <w:rsid w:val="3A945D18"/>
    <w:rsid w:val="3AB04BBD"/>
    <w:rsid w:val="3AB62A6F"/>
    <w:rsid w:val="3ADF03A2"/>
    <w:rsid w:val="3B181276"/>
    <w:rsid w:val="3B2E0A9A"/>
    <w:rsid w:val="3BD90406"/>
    <w:rsid w:val="3C372AB9"/>
    <w:rsid w:val="3C406054"/>
    <w:rsid w:val="3C445E89"/>
    <w:rsid w:val="3CB43221"/>
    <w:rsid w:val="3CCA29C6"/>
    <w:rsid w:val="3CD341CB"/>
    <w:rsid w:val="3D3B56F0"/>
    <w:rsid w:val="3D461E16"/>
    <w:rsid w:val="3D6029C0"/>
    <w:rsid w:val="3D65451B"/>
    <w:rsid w:val="3D82105B"/>
    <w:rsid w:val="3E455441"/>
    <w:rsid w:val="3E4754E9"/>
    <w:rsid w:val="3E777767"/>
    <w:rsid w:val="3E8B0E28"/>
    <w:rsid w:val="3F147860"/>
    <w:rsid w:val="3F217805"/>
    <w:rsid w:val="3F604F9A"/>
    <w:rsid w:val="3FA73B7E"/>
    <w:rsid w:val="3FC2471B"/>
    <w:rsid w:val="41172BC2"/>
    <w:rsid w:val="41535DB8"/>
    <w:rsid w:val="41F72149"/>
    <w:rsid w:val="42061600"/>
    <w:rsid w:val="425841CC"/>
    <w:rsid w:val="433C007A"/>
    <w:rsid w:val="435C1F1C"/>
    <w:rsid w:val="438B7CFE"/>
    <w:rsid w:val="43D953F3"/>
    <w:rsid w:val="453A124B"/>
    <w:rsid w:val="454F3145"/>
    <w:rsid w:val="4591246E"/>
    <w:rsid w:val="45A13E49"/>
    <w:rsid w:val="45A87763"/>
    <w:rsid w:val="45A94AD9"/>
    <w:rsid w:val="46000E61"/>
    <w:rsid w:val="46A43EC2"/>
    <w:rsid w:val="46C07F10"/>
    <w:rsid w:val="46EA0E43"/>
    <w:rsid w:val="474422FB"/>
    <w:rsid w:val="47445126"/>
    <w:rsid w:val="475650D3"/>
    <w:rsid w:val="476C21BB"/>
    <w:rsid w:val="47723ABC"/>
    <w:rsid w:val="478F4065"/>
    <w:rsid w:val="47F46BC7"/>
    <w:rsid w:val="47F60B91"/>
    <w:rsid w:val="48493E6D"/>
    <w:rsid w:val="484E6031"/>
    <w:rsid w:val="494552C4"/>
    <w:rsid w:val="49594529"/>
    <w:rsid w:val="49D557F3"/>
    <w:rsid w:val="49FD4A73"/>
    <w:rsid w:val="4A303DEC"/>
    <w:rsid w:val="4A7224B3"/>
    <w:rsid w:val="4AB07D99"/>
    <w:rsid w:val="4AB42243"/>
    <w:rsid w:val="4B696F4B"/>
    <w:rsid w:val="4B831DBC"/>
    <w:rsid w:val="4B935E0E"/>
    <w:rsid w:val="4BB6280A"/>
    <w:rsid w:val="4BE11211"/>
    <w:rsid w:val="4C065D87"/>
    <w:rsid w:val="4C341B4A"/>
    <w:rsid w:val="4C392DFB"/>
    <w:rsid w:val="4C3C06EA"/>
    <w:rsid w:val="4CC50B32"/>
    <w:rsid w:val="4CE23D45"/>
    <w:rsid w:val="4D856F0C"/>
    <w:rsid w:val="4D8F1A1A"/>
    <w:rsid w:val="4D994499"/>
    <w:rsid w:val="4DBE3864"/>
    <w:rsid w:val="4DC4528E"/>
    <w:rsid w:val="4E3375B5"/>
    <w:rsid w:val="4E3A1DF8"/>
    <w:rsid w:val="4F0B6D7B"/>
    <w:rsid w:val="4F914FAA"/>
    <w:rsid w:val="4FD41DDC"/>
    <w:rsid w:val="50465DC1"/>
    <w:rsid w:val="515D758B"/>
    <w:rsid w:val="5181771E"/>
    <w:rsid w:val="52210B4A"/>
    <w:rsid w:val="52715451"/>
    <w:rsid w:val="52AB4331"/>
    <w:rsid w:val="52B1623B"/>
    <w:rsid w:val="52EB0BC7"/>
    <w:rsid w:val="530B1DCC"/>
    <w:rsid w:val="530E1B26"/>
    <w:rsid w:val="5366143E"/>
    <w:rsid w:val="538607E4"/>
    <w:rsid w:val="5404204C"/>
    <w:rsid w:val="54B96538"/>
    <w:rsid w:val="54E725D7"/>
    <w:rsid w:val="554A4AF3"/>
    <w:rsid w:val="556510B7"/>
    <w:rsid w:val="55713B00"/>
    <w:rsid w:val="56844F3C"/>
    <w:rsid w:val="569B7D3A"/>
    <w:rsid w:val="56D358C7"/>
    <w:rsid w:val="573D052D"/>
    <w:rsid w:val="57420238"/>
    <w:rsid w:val="582662AC"/>
    <w:rsid w:val="5834757D"/>
    <w:rsid w:val="585B1C6F"/>
    <w:rsid w:val="58D634B0"/>
    <w:rsid w:val="59B469B8"/>
    <w:rsid w:val="59FC4BAE"/>
    <w:rsid w:val="5A140A09"/>
    <w:rsid w:val="5A807ED3"/>
    <w:rsid w:val="5ACB4331"/>
    <w:rsid w:val="5B092532"/>
    <w:rsid w:val="5B2561DF"/>
    <w:rsid w:val="5B373A6F"/>
    <w:rsid w:val="5B4D4167"/>
    <w:rsid w:val="5B7F6B78"/>
    <w:rsid w:val="5BAF32FA"/>
    <w:rsid w:val="5BF04AC5"/>
    <w:rsid w:val="5C82434A"/>
    <w:rsid w:val="5D334103"/>
    <w:rsid w:val="5D527F72"/>
    <w:rsid w:val="5DEC6A18"/>
    <w:rsid w:val="5E1D07CE"/>
    <w:rsid w:val="5E611B2B"/>
    <w:rsid w:val="5EE035AA"/>
    <w:rsid w:val="5F1A7A93"/>
    <w:rsid w:val="5FD975CE"/>
    <w:rsid w:val="5FEC48FC"/>
    <w:rsid w:val="601F07AE"/>
    <w:rsid w:val="605713B7"/>
    <w:rsid w:val="6085648D"/>
    <w:rsid w:val="61492422"/>
    <w:rsid w:val="625C563D"/>
    <w:rsid w:val="63534C92"/>
    <w:rsid w:val="637D1D0F"/>
    <w:rsid w:val="64AA08E2"/>
    <w:rsid w:val="64B65327"/>
    <w:rsid w:val="65EF5B54"/>
    <w:rsid w:val="66A52400"/>
    <w:rsid w:val="67136DDC"/>
    <w:rsid w:val="67221CF5"/>
    <w:rsid w:val="675E5D1D"/>
    <w:rsid w:val="67FD5BCA"/>
    <w:rsid w:val="68546064"/>
    <w:rsid w:val="68580655"/>
    <w:rsid w:val="68C94977"/>
    <w:rsid w:val="69346428"/>
    <w:rsid w:val="69AB2D6B"/>
    <w:rsid w:val="69B55D5F"/>
    <w:rsid w:val="6A0747A4"/>
    <w:rsid w:val="6A1A3E14"/>
    <w:rsid w:val="6A334ED5"/>
    <w:rsid w:val="6A523385"/>
    <w:rsid w:val="6A7A6FA8"/>
    <w:rsid w:val="6AB302C8"/>
    <w:rsid w:val="6AB5321D"/>
    <w:rsid w:val="6B303FE4"/>
    <w:rsid w:val="6B774791"/>
    <w:rsid w:val="6BB46B95"/>
    <w:rsid w:val="6C3D25C6"/>
    <w:rsid w:val="6C687E1F"/>
    <w:rsid w:val="6C884442"/>
    <w:rsid w:val="6CDE1A9A"/>
    <w:rsid w:val="6DEB687E"/>
    <w:rsid w:val="6DFA4688"/>
    <w:rsid w:val="6E5E4F55"/>
    <w:rsid w:val="6EAF0DFA"/>
    <w:rsid w:val="6F476951"/>
    <w:rsid w:val="6F56470F"/>
    <w:rsid w:val="6F631DB9"/>
    <w:rsid w:val="6F801900"/>
    <w:rsid w:val="6FD90E77"/>
    <w:rsid w:val="7017627A"/>
    <w:rsid w:val="70840239"/>
    <w:rsid w:val="70860455"/>
    <w:rsid w:val="70A23170"/>
    <w:rsid w:val="719F1EF7"/>
    <w:rsid w:val="71F57082"/>
    <w:rsid w:val="72414668"/>
    <w:rsid w:val="724C7A91"/>
    <w:rsid w:val="733C4E1B"/>
    <w:rsid w:val="73497518"/>
    <w:rsid w:val="73CB617F"/>
    <w:rsid w:val="73EB05CF"/>
    <w:rsid w:val="74C53BAA"/>
    <w:rsid w:val="74F53273"/>
    <w:rsid w:val="752B4572"/>
    <w:rsid w:val="753C0A3B"/>
    <w:rsid w:val="757745AA"/>
    <w:rsid w:val="75D73501"/>
    <w:rsid w:val="75F03F31"/>
    <w:rsid w:val="767955ED"/>
    <w:rsid w:val="769900A0"/>
    <w:rsid w:val="76E74199"/>
    <w:rsid w:val="76EF160F"/>
    <w:rsid w:val="77553385"/>
    <w:rsid w:val="775E04CD"/>
    <w:rsid w:val="77D9530E"/>
    <w:rsid w:val="78896A97"/>
    <w:rsid w:val="791D122B"/>
    <w:rsid w:val="794C4D8F"/>
    <w:rsid w:val="797631C5"/>
    <w:rsid w:val="79B812B8"/>
    <w:rsid w:val="7A12628D"/>
    <w:rsid w:val="7A6E04C5"/>
    <w:rsid w:val="7A9C329D"/>
    <w:rsid w:val="7AAD1C06"/>
    <w:rsid w:val="7AF52580"/>
    <w:rsid w:val="7B5C1973"/>
    <w:rsid w:val="7B912D47"/>
    <w:rsid w:val="7B9826D1"/>
    <w:rsid w:val="7BC6204D"/>
    <w:rsid w:val="7C0F776E"/>
    <w:rsid w:val="7C184788"/>
    <w:rsid w:val="7C603012"/>
    <w:rsid w:val="7CA0464C"/>
    <w:rsid w:val="7CBA7331"/>
    <w:rsid w:val="7CE34C72"/>
    <w:rsid w:val="7D474996"/>
    <w:rsid w:val="7D98045E"/>
    <w:rsid w:val="7DF76D39"/>
    <w:rsid w:val="7E21335C"/>
    <w:rsid w:val="7ED4682F"/>
    <w:rsid w:val="7EF05AC8"/>
    <w:rsid w:val="7F735EF9"/>
    <w:rsid w:val="7FBF128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iPriority="0" w:name="Normal Indent"/>
    <w:lsdException w:qFormat="1" w:unhideWhenUsed="0" w:uiPriority="0" w:semiHidden="0" w:name="footnote text"/>
    <w:lsdException w:uiPriority="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name="footnote reference"/>
    <w:lsdException w:uiPriority="0" w:name="annotation reference"/>
    <w:lsdException w:uiPriority="0" w:name="line number"/>
    <w:lsdException w:qFormat="1" w:unhideWhenUsed="0" w:uiPriority="0" w:semiHidden="0" w:name="page number"/>
    <w:lsdException w:qFormat="1" w:unhideWhenUsed="0" w:uiPriority="0" w:name="endnote reference"/>
    <w:lsdException w:qFormat="1" w:unhideWhenUsed="0"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145"/>
    <w:semiHidden/>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3">
    <w:name w:val="toc 7"/>
    <w:basedOn w:val="1"/>
    <w:next w:val="1"/>
    <w:semiHidden/>
    <w:qFormat/>
    <w:uiPriority w:val="0"/>
    <w:pPr>
      <w:tabs>
        <w:tab w:val="right" w:leader="dot" w:pos="9241"/>
      </w:tabs>
      <w:ind w:firstLine="505" w:firstLineChars="500"/>
      <w:jc w:val="left"/>
    </w:pPr>
    <w:rPr>
      <w:rFonts w:ascii="宋体"/>
      <w:szCs w:val="21"/>
    </w:rPr>
  </w:style>
  <w:style w:type="paragraph" w:styleId="4">
    <w:name w:val="index 8"/>
    <w:basedOn w:val="1"/>
    <w:next w:val="1"/>
    <w:qFormat/>
    <w:uiPriority w:val="0"/>
    <w:pPr>
      <w:ind w:left="1680" w:hanging="210"/>
      <w:jc w:val="left"/>
    </w:pPr>
    <w:rPr>
      <w:rFonts w:ascii="Calibri" w:hAnsi="Calibri"/>
      <w:sz w:val="20"/>
      <w:szCs w:val="20"/>
    </w:rPr>
  </w:style>
  <w:style w:type="paragraph" w:styleId="5">
    <w:name w:val="caption"/>
    <w:basedOn w:val="1"/>
    <w:next w:val="1"/>
    <w:qFormat/>
    <w:uiPriority w:val="0"/>
    <w:pPr>
      <w:spacing w:before="152" w:after="160"/>
    </w:pPr>
    <w:rPr>
      <w:rFonts w:ascii="Arial" w:hAnsi="Arial" w:eastAsia="黑体" w:cs="Arial"/>
      <w:sz w:val="20"/>
      <w:szCs w:val="20"/>
    </w:rPr>
  </w:style>
  <w:style w:type="paragraph" w:styleId="6">
    <w:name w:val="index 5"/>
    <w:basedOn w:val="1"/>
    <w:next w:val="1"/>
    <w:qFormat/>
    <w:uiPriority w:val="0"/>
    <w:pPr>
      <w:ind w:left="1050" w:hanging="210"/>
      <w:jc w:val="left"/>
    </w:pPr>
    <w:rPr>
      <w:rFonts w:ascii="Calibri" w:hAnsi="Calibri"/>
      <w:sz w:val="20"/>
      <w:szCs w:val="20"/>
    </w:rPr>
  </w:style>
  <w:style w:type="paragraph" w:styleId="7">
    <w:name w:val="Document Map"/>
    <w:basedOn w:val="1"/>
    <w:semiHidden/>
    <w:qFormat/>
    <w:uiPriority w:val="0"/>
    <w:pPr>
      <w:shd w:val="clear" w:color="auto" w:fill="000080"/>
    </w:pPr>
  </w:style>
  <w:style w:type="paragraph" w:styleId="8">
    <w:name w:val="index 6"/>
    <w:basedOn w:val="1"/>
    <w:next w:val="1"/>
    <w:qFormat/>
    <w:uiPriority w:val="0"/>
    <w:pPr>
      <w:ind w:left="1260" w:hanging="210"/>
      <w:jc w:val="left"/>
    </w:pPr>
    <w:rPr>
      <w:rFonts w:ascii="Calibri" w:hAnsi="Calibri"/>
      <w:sz w:val="20"/>
      <w:szCs w:val="20"/>
    </w:rPr>
  </w:style>
  <w:style w:type="paragraph" w:styleId="9">
    <w:name w:val="Body Text"/>
    <w:basedOn w:val="1"/>
    <w:next w:val="10"/>
    <w:link w:val="144"/>
    <w:qFormat/>
    <w:uiPriority w:val="0"/>
    <w:pPr>
      <w:spacing w:after="120"/>
    </w:pPr>
  </w:style>
  <w:style w:type="paragraph" w:styleId="10">
    <w:name w:val="Body Text Indent"/>
    <w:basedOn w:val="1"/>
    <w:qFormat/>
    <w:uiPriority w:val="0"/>
    <w:pPr>
      <w:spacing w:after="120"/>
      <w:ind w:left="420" w:leftChars="200"/>
    </w:pPr>
  </w:style>
  <w:style w:type="paragraph" w:styleId="11">
    <w:name w:val="index 4"/>
    <w:basedOn w:val="1"/>
    <w:next w:val="1"/>
    <w:qFormat/>
    <w:uiPriority w:val="0"/>
    <w:pPr>
      <w:ind w:left="840" w:hanging="210"/>
      <w:jc w:val="left"/>
    </w:pPr>
    <w:rPr>
      <w:rFonts w:ascii="Calibri" w:hAnsi="Calibri"/>
      <w:sz w:val="20"/>
      <w:szCs w:val="20"/>
    </w:rPr>
  </w:style>
  <w:style w:type="paragraph" w:styleId="12">
    <w:name w:val="toc 5"/>
    <w:basedOn w:val="1"/>
    <w:next w:val="1"/>
    <w:semiHidden/>
    <w:qFormat/>
    <w:uiPriority w:val="0"/>
    <w:pPr>
      <w:tabs>
        <w:tab w:val="right" w:leader="dot" w:pos="9241"/>
      </w:tabs>
      <w:ind w:firstLine="300" w:firstLineChars="300"/>
      <w:jc w:val="left"/>
    </w:pPr>
    <w:rPr>
      <w:rFonts w:ascii="宋体"/>
      <w:szCs w:val="21"/>
    </w:rPr>
  </w:style>
  <w:style w:type="paragraph" w:styleId="13">
    <w:name w:val="toc 3"/>
    <w:basedOn w:val="1"/>
    <w:next w:val="1"/>
    <w:semiHidden/>
    <w:qFormat/>
    <w:uiPriority w:val="0"/>
    <w:pPr>
      <w:tabs>
        <w:tab w:val="right" w:leader="dot" w:pos="9241"/>
      </w:tabs>
      <w:ind w:firstLine="102" w:firstLineChars="100"/>
      <w:jc w:val="left"/>
    </w:pPr>
    <w:rPr>
      <w:rFonts w:ascii="宋体"/>
      <w:szCs w:val="21"/>
    </w:rPr>
  </w:style>
  <w:style w:type="paragraph" w:styleId="14">
    <w:name w:val="toc 8"/>
    <w:basedOn w:val="1"/>
    <w:next w:val="1"/>
    <w:semiHidden/>
    <w:qFormat/>
    <w:uiPriority w:val="0"/>
    <w:pPr>
      <w:tabs>
        <w:tab w:val="right" w:leader="dot" w:pos="9241"/>
      </w:tabs>
      <w:ind w:firstLine="607" w:firstLineChars="600"/>
      <w:jc w:val="left"/>
    </w:pPr>
    <w:rPr>
      <w:rFonts w:ascii="宋体"/>
      <w:szCs w:val="21"/>
    </w:rPr>
  </w:style>
  <w:style w:type="paragraph" w:styleId="15">
    <w:name w:val="index 3"/>
    <w:basedOn w:val="1"/>
    <w:next w:val="1"/>
    <w:qFormat/>
    <w:uiPriority w:val="0"/>
    <w:pPr>
      <w:ind w:left="630" w:hanging="210"/>
      <w:jc w:val="left"/>
    </w:pPr>
    <w:rPr>
      <w:rFonts w:ascii="Calibri" w:hAnsi="Calibri"/>
      <w:sz w:val="20"/>
      <w:szCs w:val="20"/>
    </w:rPr>
  </w:style>
  <w:style w:type="paragraph" w:styleId="16">
    <w:name w:val="endnote text"/>
    <w:basedOn w:val="1"/>
    <w:semiHidden/>
    <w:qFormat/>
    <w:uiPriority w:val="0"/>
    <w:pPr>
      <w:snapToGrid w:val="0"/>
      <w:jc w:val="left"/>
    </w:pPr>
  </w:style>
  <w:style w:type="paragraph" w:styleId="17">
    <w:name w:val="Balloon Text"/>
    <w:basedOn w:val="1"/>
    <w:link w:val="141"/>
    <w:qFormat/>
    <w:uiPriority w:val="0"/>
    <w:rPr>
      <w:sz w:val="18"/>
      <w:szCs w:val="18"/>
    </w:rPr>
  </w:style>
  <w:style w:type="paragraph" w:styleId="18">
    <w:name w:val="footer"/>
    <w:basedOn w:val="1"/>
    <w:qFormat/>
    <w:uiPriority w:val="0"/>
    <w:pPr>
      <w:snapToGrid w:val="0"/>
      <w:ind w:right="210" w:rightChars="100"/>
      <w:jc w:val="right"/>
    </w:pPr>
    <w:rPr>
      <w:sz w:val="18"/>
      <w:szCs w:val="18"/>
    </w:rPr>
  </w:style>
  <w:style w:type="paragraph" w:styleId="19">
    <w:name w:val="header"/>
    <w:basedOn w:val="1"/>
    <w:qFormat/>
    <w:uiPriority w:val="0"/>
    <w:pPr>
      <w:snapToGrid w:val="0"/>
      <w:jc w:val="left"/>
    </w:pPr>
    <w:rPr>
      <w:sz w:val="18"/>
      <w:szCs w:val="18"/>
    </w:rPr>
  </w:style>
  <w:style w:type="paragraph" w:styleId="20">
    <w:name w:val="toc 1"/>
    <w:basedOn w:val="1"/>
    <w:next w:val="1"/>
    <w:qFormat/>
    <w:uiPriority w:val="39"/>
    <w:pPr>
      <w:tabs>
        <w:tab w:val="right" w:leader="dot" w:pos="9241"/>
      </w:tabs>
      <w:spacing w:beforeLines="25" w:afterLines="25"/>
      <w:jc w:val="left"/>
    </w:pPr>
    <w:rPr>
      <w:rFonts w:ascii="宋体"/>
      <w:szCs w:val="21"/>
    </w:rPr>
  </w:style>
  <w:style w:type="paragraph" w:styleId="21">
    <w:name w:val="toc 4"/>
    <w:basedOn w:val="1"/>
    <w:next w:val="1"/>
    <w:semiHidden/>
    <w:qFormat/>
    <w:uiPriority w:val="0"/>
    <w:pPr>
      <w:tabs>
        <w:tab w:val="right" w:leader="dot" w:pos="9241"/>
      </w:tabs>
      <w:ind w:firstLine="198" w:firstLineChars="200"/>
      <w:jc w:val="left"/>
    </w:pPr>
    <w:rPr>
      <w:rFonts w:ascii="宋体"/>
      <w:szCs w:val="21"/>
    </w:rPr>
  </w:style>
  <w:style w:type="paragraph" w:styleId="22">
    <w:name w:val="index heading"/>
    <w:basedOn w:val="1"/>
    <w:next w:val="23"/>
    <w:qFormat/>
    <w:uiPriority w:val="0"/>
    <w:pPr>
      <w:spacing w:before="120" w:after="120"/>
      <w:jc w:val="center"/>
    </w:pPr>
    <w:rPr>
      <w:rFonts w:ascii="Calibri" w:hAnsi="Calibri"/>
      <w:b/>
      <w:bCs/>
      <w:iCs/>
      <w:szCs w:val="20"/>
    </w:rPr>
  </w:style>
  <w:style w:type="paragraph" w:styleId="23">
    <w:name w:val="index 1"/>
    <w:basedOn w:val="1"/>
    <w:next w:val="24"/>
    <w:qFormat/>
    <w:uiPriority w:val="0"/>
    <w:pPr>
      <w:tabs>
        <w:tab w:val="right" w:leader="dot" w:pos="9299"/>
      </w:tabs>
      <w:jc w:val="left"/>
    </w:pPr>
    <w:rPr>
      <w:rFonts w:ascii="宋体"/>
      <w:szCs w:val="21"/>
    </w:rPr>
  </w:style>
  <w:style w:type="paragraph" w:customStyle="1" w:styleId="24">
    <w:name w:val="段"/>
    <w:link w:val="41"/>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5">
    <w:name w:val="footnote text"/>
    <w:basedOn w:val="1"/>
    <w:qFormat/>
    <w:uiPriority w:val="0"/>
    <w:pPr>
      <w:numPr>
        <w:ilvl w:val="0"/>
        <w:numId w:val="1"/>
      </w:numPr>
      <w:snapToGrid w:val="0"/>
      <w:jc w:val="left"/>
    </w:pPr>
    <w:rPr>
      <w:rFonts w:ascii="宋体"/>
      <w:sz w:val="18"/>
      <w:szCs w:val="18"/>
    </w:rPr>
  </w:style>
  <w:style w:type="paragraph" w:styleId="26">
    <w:name w:val="toc 6"/>
    <w:basedOn w:val="1"/>
    <w:next w:val="1"/>
    <w:semiHidden/>
    <w:qFormat/>
    <w:uiPriority w:val="0"/>
    <w:pPr>
      <w:tabs>
        <w:tab w:val="right" w:leader="dot" w:pos="9241"/>
      </w:tabs>
      <w:ind w:firstLine="403" w:firstLineChars="400"/>
      <w:jc w:val="left"/>
    </w:pPr>
    <w:rPr>
      <w:rFonts w:ascii="宋体"/>
      <w:szCs w:val="21"/>
    </w:rPr>
  </w:style>
  <w:style w:type="paragraph" w:styleId="27">
    <w:name w:val="index 7"/>
    <w:basedOn w:val="1"/>
    <w:next w:val="1"/>
    <w:qFormat/>
    <w:uiPriority w:val="0"/>
    <w:pPr>
      <w:ind w:left="1470" w:hanging="210"/>
      <w:jc w:val="left"/>
    </w:pPr>
    <w:rPr>
      <w:rFonts w:ascii="Calibri" w:hAnsi="Calibri"/>
      <w:sz w:val="20"/>
      <w:szCs w:val="20"/>
    </w:rPr>
  </w:style>
  <w:style w:type="paragraph" w:styleId="28">
    <w:name w:val="index 9"/>
    <w:basedOn w:val="1"/>
    <w:next w:val="1"/>
    <w:qFormat/>
    <w:uiPriority w:val="0"/>
    <w:pPr>
      <w:ind w:left="1890" w:hanging="210"/>
      <w:jc w:val="left"/>
    </w:pPr>
    <w:rPr>
      <w:rFonts w:ascii="Calibri" w:hAnsi="Calibri"/>
      <w:sz w:val="20"/>
      <w:szCs w:val="20"/>
    </w:rPr>
  </w:style>
  <w:style w:type="paragraph" w:styleId="29">
    <w:name w:val="toc 2"/>
    <w:basedOn w:val="1"/>
    <w:next w:val="1"/>
    <w:semiHidden/>
    <w:qFormat/>
    <w:uiPriority w:val="0"/>
    <w:pPr>
      <w:tabs>
        <w:tab w:val="right" w:leader="dot" w:pos="9241"/>
      </w:tabs>
    </w:pPr>
    <w:rPr>
      <w:rFonts w:ascii="宋体"/>
      <w:szCs w:val="21"/>
    </w:rPr>
  </w:style>
  <w:style w:type="paragraph" w:styleId="30">
    <w:name w:val="toc 9"/>
    <w:basedOn w:val="1"/>
    <w:next w:val="1"/>
    <w:semiHidden/>
    <w:qFormat/>
    <w:uiPriority w:val="0"/>
    <w:pPr>
      <w:ind w:left="1470"/>
      <w:jc w:val="left"/>
    </w:pPr>
    <w:rPr>
      <w:sz w:val="20"/>
      <w:szCs w:val="20"/>
    </w:rPr>
  </w:style>
  <w:style w:type="paragraph" w:styleId="31">
    <w:name w:val="index 2"/>
    <w:basedOn w:val="1"/>
    <w:next w:val="1"/>
    <w:qFormat/>
    <w:uiPriority w:val="0"/>
    <w:pPr>
      <w:ind w:left="420" w:hanging="210"/>
      <w:jc w:val="left"/>
    </w:pPr>
    <w:rPr>
      <w:rFonts w:ascii="Calibri" w:hAnsi="Calibri"/>
      <w:sz w:val="20"/>
      <w:szCs w:val="20"/>
    </w:rPr>
  </w:style>
  <w:style w:type="paragraph" w:styleId="32">
    <w:name w:val="Body Text First Indent"/>
    <w:basedOn w:val="9"/>
    <w:unhideWhenUsed/>
    <w:qFormat/>
    <w:uiPriority w:val="99"/>
    <w:pPr>
      <w:ind w:firstLine="420" w:firstLineChars="100"/>
    </w:pPr>
  </w:style>
  <w:style w:type="table" w:styleId="34">
    <w:name w:val="Table Grid"/>
    <w:basedOn w:val="33"/>
    <w:qFormat/>
    <w:uiPriority w:val="0"/>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6">
    <w:name w:val="endnote reference"/>
    <w:semiHidden/>
    <w:qFormat/>
    <w:uiPriority w:val="0"/>
    <w:rPr>
      <w:vertAlign w:val="superscript"/>
    </w:rPr>
  </w:style>
  <w:style w:type="character" w:styleId="37">
    <w:name w:val="page number"/>
    <w:qFormat/>
    <w:uiPriority w:val="0"/>
    <w:rPr>
      <w:rFonts w:ascii="Times New Roman" w:hAnsi="Times New Roman" w:eastAsia="宋体"/>
      <w:sz w:val="18"/>
    </w:rPr>
  </w:style>
  <w:style w:type="character" w:styleId="38">
    <w:name w:val="FollowedHyperlink"/>
    <w:qFormat/>
    <w:uiPriority w:val="0"/>
    <w:rPr>
      <w:color w:val="800080"/>
      <w:u w:val="single"/>
    </w:rPr>
  </w:style>
  <w:style w:type="character" w:styleId="39">
    <w:name w:val="Hyperlink"/>
    <w:qFormat/>
    <w:uiPriority w:val="99"/>
    <w:rPr>
      <w:color w:val="0000FF"/>
      <w:spacing w:val="0"/>
      <w:w w:val="100"/>
      <w:szCs w:val="21"/>
      <w:u w:val="single"/>
    </w:rPr>
  </w:style>
  <w:style w:type="character" w:styleId="40">
    <w:name w:val="footnote reference"/>
    <w:semiHidden/>
    <w:qFormat/>
    <w:uiPriority w:val="0"/>
    <w:rPr>
      <w:vertAlign w:val="superscript"/>
    </w:rPr>
  </w:style>
  <w:style w:type="character" w:customStyle="1" w:styleId="41">
    <w:name w:val="段 Char"/>
    <w:link w:val="24"/>
    <w:qFormat/>
    <w:uiPriority w:val="0"/>
    <w:rPr>
      <w:rFonts w:ascii="宋体"/>
      <w:sz w:val="21"/>
      <w:lang w:val="en-US" w:eastAsia="zh-CN" w:bidi="ar-SA"/>
    </w:rPr>
  </w:style>
  <w:style w:type="paragraph" w:customStyle="1" w:styleId="42">
    <w:name w:val="一级条标题"/>
    <w:next w:val="24"/>
    <w:qFormat/>
    <w:uiPriority w:val="0"/>
    <w:pPr>
      <w:numPr>
        <w:ilvl w:val="1"/>
        <w:numId w:val="2"/>
      </w:numPr>
      <w:spacing w:line="360" w:lineRule="auto"/>
      <w:outlineLvl w:val="2"/>
    </w:pPr>
    <w:rPr>
      <w:rFonts w:ascii="黑体" w:hAnsi="黑体" w:eastAsia="黑体" w:cs="Times New Roman"/>
      <w:sz w:val="21"/>
      <w:szCs w:val="21"/>
      <w:lang w:val="en-US" w:eastAsia="zh-CN" w:bidi="ar-SA"/>
    </w:rPr>
  </w:style>
  <w:style w:type="paragraph" w:customStyle="1" w:styleId="43">
    <w:name w:val="标准书脚_奇数页"/>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44">
    <w:name w:val="标准书眉_奇数页"/>
    <w:next w:val="1"/>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45">
    <w:name w:val="章标题"/>
    <w:next w:val="24"/>
    <w:qFormat/>
    <w:uiPriority w:val="0"/>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46">
    <w:name w:val="二级条标题"/>
    <w:basedOn w:val="42"/>
    <w:next w:val="24"/>
    <w:qFormat/>
    <w:uiPriority w:val="0"/>
    <w:pPr>
      <w:numPr>
        <w:ilvl w:val="2"/>
      </w:numPr>
      <w:spacing w:before="50" w:after="50"/>
      <w:outlineLvl w:val="3"/>
    </w:pPr>
  </w:style>
  <w:style w:type="paragraph" w:customStyle="1" w:styleId="47">
    <w:name w:val="封面标准号2"/>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48">
    <w:name w:val="列项——（一级）"/>
    <w:qFormat/>
    <w:uiPriority w:val="0"/>
    <w:pPr>
      <w:widowControl w:val="0"/>
      <w:numPr>
        <w:ilvl w:val="0"/>
        <w:numId w:val="3"/>
      </w:numPr>
      <w:jc w:val="both"/>
    </w:pPr>
    <w:rPr>
      <w:rFonts w:ascii="宋体" w:hAnsi="Times New Roman" w:eastAsia="宋体" w:cs="Times New Roman"/>
      <w:sz w:val="21"/>
      <w:lang w:val="en-US" w:eastAsia="zh-CN" w:bidi="ar-SA"/>
    </w:rPr>
  </w:style>
  <w:style w:type="paragraph" w:customStyle="1" w:styleId="49">
    <w:name w:val="列项●（二级）"/>
    <w:qFormat/>
    <w:uiPriority w:val="0"/>
    <w:pPr>
      <w:numPr>
        <w:ilvl w:val="1"/>
        <w:numId w:val="3"/>
      </w:numPr>
      <w:tabs>
        <w:tab w:val="left" w:pos="840"/>
      </w:tabs>
      <w:jc w:val="both"/>
    </w:pPr>
    <w:rPr>
      <w:rFonts w:ascii="宋体" w:hAnsi="Times New Roman" w:eastAsia="宋体" w:cs="Times New Roman"/>
      <w:sz w:val="21"/>
      <w:lang w:val="en-US" w:eastAsia="zh-CN" w:bidi="ar-SA"/>
    </w:rPr>
  </w:style>
  <w:style w:type="paragraph" w:customStyle="1" w:styleId="50">
    <w:name w:val="目次、标准名称标题"/>
    <w:basedOn w:val="1"/>
    <w:next w:val="24"/>
    <w:link w:val="139"/>
    <w:qFormat/>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51">
    <w:name w:val="三级条标题"/>
    <w:basedOn w:val="46"/>
    <w:next w:val="24"/>
    <w:qFormat/>
    <w:uiPriority w:val="0"/>
    <w:pPr>
      <w:numPr>
        <w:ilvl w:val="3"/>
      </w:numPr>
      <w:outlineLvl w:val="4"/>
    </w:pPr>
  </w:style>
  <w:style w:type="paragraph" w:customStyle="1" w:styleId="52">
    <w:name w:val="示例"/>
    <w:next w:val="53"/>
    <w:qFormat/>
    <w:uiPriority w:val="0"/>
    <w:pPr>
      <w:widowControl w:val="0"/>
      <w:numPr>
        <w:ilvl w:val="0"/>
        <w:numId w:val="4"/>
      </w:numPr>
      <w:jc w:val="both"/>
    </w:pPr>
    <w:rPr>
      <w:rFonts w:ascii="宋体" w:hAnsi="Times New Roman" w:eastAsia="宋体" w:cs="Times New Roman"/>
      <w:sz w:val="18"/>
      <w:szCs w:val="18"/>
      <w:lang w:val="en-US" w:eastAsia="zh-CN" w:bidi="ar-SA"/>
    </w:rPr>
  </w:style>
  <w:style w:type="paragraph" w:customStyle="1" w:styleId="53">
    <w:name w:val="示例内容"/>
    <w:qFormat/>
    <w:uiPriority w:val="0"/>
    <w:pPr>
      <w:ind w:firstLine="200" w:firstLineChars="200"/>
    </w:pPr>
    <w:rPr>
      <w:rFonts w:ascii="宋体" w:hAnsi="Times New Roman" w:eastAsia="宋体" w:cs="Times New Roman"/>
      <w:sz w:val="18"/>
      <w:szCs w:val="18"/>
      <w:lang w:val="en-US" w:eastAsia="zh-CN" w:bidi="ar-SA"/>
    </w:rPr>
  </w:style>
  <w:style w:type="paragraph" w:customStyle="1" w:styleId="54">
    <w:name w:val="数字编号列项（二级）"/>
    <w:qFormat/>
    <w:uiPriority w:val="0"/>
    <w:pPr>
      <w:numPr>
        <w:ilvl w:val="1"/>
        <w:numId w:val="5"/>
      </w:numPr>
      <w:jc w:val="both"/>
    </w:pPr>
    <w:rPr>
      <w:rFonts w:ascii="宋体" w:hAnsi="Times New Roman" w:eastAsia="宋体" w:cs="Times New Roman"/>
      <w:sz w:val="21"/>
      <w:lang w:val="en-US" w:eastAsia="zh-CN" w:bidi="ar-SA"/>
    </w:rPr>
  </w:style>
  <w:style w:type="paragraph" w:customStyle="1" w:styleId="55">
    <w:name w:val="四级条标题"/>
    <w:basedOn w:val="51"/>
    <w:next w:val="24"/>
    <w:qFormat/>
    <w:uiPriority w:val="0"/>
    <w:pPr>
      <w:numPr>
        <w:ilvl w:val="4"/>
      </w:numPr>
      <w:outlineLvl w:val="5"/>
    </w:pPr>
  </w:style>
  <w:style w:type="paragraph" w:customStyle="1" w:styleId="56">
    <w:name w:val="五级条标题"/>
    <w:basedOn w:val="55"/>
    <w:next w:val="24"/>
    <w:qFormat/>
    <w:uiPriority w:val="0"/>
    <w:pPr>
      <w:numPr>
        <w:ilvl w:val="5"/>
      </w:numPr>
      <w:outlineLvl w:val="6"/>
    </w:pPr>
  </w:style>
  <w:style w:type="paragraph" w:customStyle="1" w:styleId="57">
    <w:name w:val="注："/>
    <w:next w:val="24"/>
    <w:qFormat/>
    <w:uiPriority w:val="0"/>
    <w:pPr>
      <w:widowControl w:val="0"/>
      <w:numPr>
        <w:ilvl w:val="0"/>
        <w:numId w:val="6"/>
      </w:numPr>
      <w:autoSpaceDE w:val="0"/>
      <w:autoSpaceDN w:val="0"/>
      <w:ind w:left="726" w:hanging="363"/>
      <w:jc w:val="both"/>
    </w:pPr>
    <w:rPr>
      <w:rFonts w:ascii="宋体" w:hAnsi="Times New Roman" w:eastAsia="宋体" w:cs="Times New Roman"/>
      <w:sz w:val="18"/>
      <w:szCs w:val="18"/>
      <w:lang w:val="en-US" w:eastAsia="zh-CN" w:bidi="ar-SA"/>
    </w:rPr>
  </w:style>
  <w:style w:type="paragraph" w:customStyle="1" w:styleId="58">
    <w:name w:val="注×："/>
    <w:qFormat/>
    <w:uiPriority w:val="0"/>
    <w:pPr>
      <w:widowControl w:val="0"/>
      <w:numPr>
        <w:ilvl w:val="0"/>
        <w:numId w:val="7"/>
      </w:numPr>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59">
    <w:name w:val="字母编号列项（一级）"/>
    <w:qFormat/>
    <w:uiPriority w:val="0"/>
    <w:pPr>
      <w:numPr>
        <w:ilvl w:val="0"/>
        <w:numId w:val="5"/>
      </w:numPr>
      <w:jc w:val="both"/>
    </w:pPr>
    <w:rPr>
      <w:rFonts w:ascii="宋体" w:hAnsi="Times New Roman" w:eastAsia="宋体" w:cs="Times New Roman"/>
      <w:sz w:val="21"/>
      <w:lang w:val="en-US" w:eastAsia="zh-CN" w:bidi="ar-SA"/>
    </w:rPr>
  </w:style>
  <w:style w:type="paragraph" w:customStyle="1" w:styleId="60">
    <w:name w:val="列项◆（三级）"/>
    <w:basedOn w:val="1"/>
    <w:qFormat/>
    <w:uiPriority w:val="0"/>
    <w:pPr>
      <w:numPr>
        <w:ilvl w:val="2"/>
        <w:numId w:val="3"/>
      </w:numPr>
    </w:pPr>
    <w:rPr>
      <w:rFonts w:ascii="宋体"/>
      <w:szCs w:val="21"/>
    </w:rPr>
  </w:style>
  <w:style w:type="paragraph" w:customStyle="1" w:styleId="61">
    <w:name w:val="编号列项（三级）"/>
    <w:qFormat/>
    <w:uiPriority w:val="0"/>
    <w:pPr>
      <w:numPr>
        <w:ilvl w:val="2"/>
        <w:numId w:val="5"/>
      </w:numPr>
    </w:pPr>
    <w:rPr>
      <w:rFonts w:ascii="宋体" w:hAnsi="Times New Roman" w:eastAsia="宋体" w:cs="Times New Roman"/>
      <w:sz w:val="21"/>
      <w:lang w:val="en-US" w:eastAsia="zh-CN" w:bidi="ar-SA"/>
    </w:rPr>
  </w:style>
  <w:style w:type="paragraph" w:customStyle="1" w:styleId="62">
    <w:name w:val="示例×："/>
    <w:basedOn w:val="45"/>
    <w:qFormat/>
    <w:uiPriority w:val="0"/>
    <w:pPr>
      <w:numPr>
        <w:numId w:val="8"/>
      </w:numPr>
      <w:spacing w:beforeLines="0" w:afterLines="0"/>
      <w:outlineLvl w:val="9"/>
    </w:pPr>
    <w:rPr>
      <w:rFonts w:ascii="宋体" w:eastAsia="宋体"/>
      <w:sz w:val="18"/>
      <w:szCs w:val="18"/>
    </w:rPr>
  </w:style>
  <w:style w:type="paragraph" w:customStyle="1" w:styleId="63">
    <w:name w:val="二级无"/>
    <w:basedOn w:val="46"/>
    <w:qFormat/>
    <w:uiPriority w:val="0"/>
    <w:pPr>
      <w:spacing w:beforeLines="0" w:afterLines="0"/>
    </w:pPr>
    <w:rPr>
      <w:rFonts w:ascii="宋体" w:eastAsia="宋体"/>
    </w:rPr>
  </w:style>
  <w:style w:type="paragraph" w:customStyle="1" w:styleId="64">
    <w:name w:val="注：（正文）"/>
    <w:basedOn w:val="57"/>
    <w:next w:val="24"/>
    <w:qFormat/>
    <w:uiPriority w:val="0"/>
    <w:pPr>
      <w:numPr>
        <w:numId w:val="9"/>
      </w:numPr>
    </w:pPr>
  </w:style>
  <w:style w:type="paragraph" w:customStyle="1" w:styleId="65">
    <w:name w:val="注×：（正文）"/>
    <w:qFormat/>
    <w:uiPriority w:val="0"/>
    <w:pPr>
      <w:numPr>
        <w:ilvl w:val="0"/>
        <w:numId w:val="10"/>
      </w:numPr>
      <w:jc w:val="both"/>
    </w:pPr>
    <w:rPr>
      <w:rFonts w:ascii="宋体" w:hAnsi="Times New Roman" w:eastAsia="宋体" w:cs="Times New Roman"/>
      <w:sz w:val="18"/>
      <w:szCs w:val="18"/>
      <w:lang w:val="en-US" w:eastAsia="zh-CN" w:bidi="ar-SA"/>
    </w:rPr>
  </w:style>
  <w:style w:type="paragraph" w:customStyle="1" w:styleId="66">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67">
    <w:name w:val="标准称谓"/>
    <w:next w:val="1"/>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68">
    <w:name w:val="标准书脚_偶数页"/>
    <w:qFormat/>
    <w:uiPriority w:val="0"/>
    <w:pPr>
      <w:spacing w:before="120"/>
      <w:ind w:left="221"/>
    </w:pPr>
    <w:rPr>
      <w:rFonts w:ascii="宋体" w:hAnsi="Times New Roman" w:eastAsia="宋体" w:cs="Times New Roman"/>
      <w:sz w:val="18"/>
      <w:szCs w:val="18"/>
      <w:lang w:val="en-US" w:eastAsia="zh-CN" w:bidi="ar-SA"/>
    </w:rPr>
  </w:style>
  <w:style w:type="paragraph" w:customStyle="1" w:styleId="69">
    <w:name w:val="标准书眉_偶数页"/>
    <w:basedOn w:val="44"/>
    <w:next w:val="1"/>
    <w:qFormat/>
    <w:uiPriority w:val="0"/>
    <w:pPr>
      <w:jc w:val="left"/>
    </w:pPr>
  </w:style>
  <w:style w:type="paragraph" w:customStyle="1" w:styleId="70">
    <w:name w:val="标准书眉一"/>
    <w:qFormat/>
    <w:uiPriority w:val="0"/>
    <w:pPr>
      <w:jc w:val="both"/>
    </w:pPr>
    <w:rPr>
      <w:rFonts w:ascii="Times New Roman" w:hAnsi="Times New Roman" w:eastAsia="宋体" w:cs="Times New Roman"/>
      <w:lang w:val="en-US" w:eastAsia="zh-CN" w:bidi="ar-SA"/>
    </w:rPr>
  </w:style>
  <w:style w:type="paragraph" w:customStyle="1" w:styleId="71">
    <w:name w:val="参考文献"/>
    <w:basedOn w:val="1"/>
    <w:next w:val="24"/>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72">
    <w:name w:val="参考文献、索引标题"/>
    <w:basedOn w:val="1"/>
    <w:next w:val="24"/>
    <w:qFormat/>
    <w:uiPriority w:val="0"/>
    <w:pPr>
      <w:keepNext/>
      <w:pageBreakBefore/>
      <w:widowControl/>
      <w:shd w:val="clear" w:color="FFFFFF" w:fill="FFFFFF"/>
      <w:spacing w:before="640" w:after="200"/>
      <w:jc w:val="center"/>
      <w:outlineLvl w:val="0"/>
    </w:pPr>
    <w:rPr>
      <w:rFonts w:ascii="黑体" w:eastAsia="黑体"/>
      <w:kern w:val="0"/>
      <w:szCs w:val="20"/>
    </w:rPr>
  </w:style>
  <w:style w:type="character" w:customStyle="1" w:styleId="73">
    <w:name w:val="发布"/>
    <w:qFormat/>
    <w:uiPriority w:val="0"/>
    <w:rPr>
      <w:rFonts w:ascii="黑体" w:eastAsia="黑体"/>
      <w:spacing w:val="85"/>
      <w:w w:val="100"/>
      <w:position w:val="3"/>
      <w:sz w:val="28"/>
      <w:szCs w:val="28"/>
    </w:rPr>
  </w:style>
  <w:style w:type="paragraph" w:customStyle="1" w:styleId="74">
    <w:name w:val="发布部门"/>
    <w:next w:val="24"/>
    <w:qFormat/>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75">
    <w:name w:val="发布日期"/>
    <w:qFormat/>
    <w:uiPriority w:val="0"/>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76">
    <w:name w:val="封面标准代替信息"/>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77">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78">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79">
    <w:name w:val="封面标准英文名称"/>
    <w:basedOn w:val="78"/>
    <w:qFormat/>
    <w:uiPriority w:val="0"/>
    <w:pPr>
      <w:framePr w:wrap="around"/>
      <w:spacing w:before="370" w:line="400" w:lineRule="exact"/>
    </w:pPr>
    <w:rPr>
      <w:rFonts w:ascii="Times New Roman"/>
      <w:sz w:val="28"/>
      <w:szCs w:val="28"/>
    </w:rPr>
  </w:style>
  <w:style w:type="paragraph" w:customStyle="1" w:styleId="80">
    <w:name w:val="封面一致性程度标识"/>
    <w:basedOn w:val="79"/>
    <w:qFormat/>
    <w:uiPriority w:val="0"/>
    <w:pPr>
      <w:framePr w:wrap="around"/>
      <w:spacing w:before="440"/>
    </w:pPr>
    <w:rPr>
      <w:rFonts w:ascii="宋体" w:eastAsia="宋体"/>
    </w:rPr>
  </w:style>
  <w:style w:type="paragraph" w:customStyle="1" w:styleId="81">
    <w:name w:val="封面标准文稿类别"/>
    <w:basedOn w:val="80"/>
    <w:qFormat/>
    <w:uiPriority w:val="0"/>
    <w:pPr>
      <w:framePr w:wrap="around"/>
      <w:spacing w:after="160" w:line="240" w:lineRule="auto"/>
    </w:pPr>
    <w:rPr>
      <w:sz w:val="24"/>
    </w:rPr>
  </w:style>
  <w:style w:type="paragraph" w:customStyle="1" w:styleId="82">
    <w:name w:val="封面标准文稿编辑信息"/>
    <w:basedOn w:val="81"/>
    <w:qFormat/>
    <w:uiPriority w:val="0"/>
    <w:pPr>
      <w:framePr w:wrap="around"/>
      <w:spacing w:before="180" w:line="180" w:lineRule="exact"/>
    </w:pPr>
    <w:rPr>
      <w:sz w:val="21"/>
    </w:rPr>
  </w:style>
  <w:style w:type="paragraph" w:customStyle="1" w:styleId="83">
    <w:name w:val="封面正文"/>
    <w:qFormat/>
    <w:uiPriority w:val="0"/>
    <w:pPr>
      <w:jc w:val="both"/>
    </w:pPr>
    <w:rPr>
      <w:rFonts w:ascii="Times New Roman" w:hAnsi="Times New Roman" w:eastAsia="宋体" w:cs="Times New Roman"/>
      <w:lang w:val="en-US" w:eastAsia="zh-CN" w:bidi="ar-SA"/>
    </w:rPr>
  </w:style>
  <w:style w:type="paragraph" w:customStyle="1" w:styleId="84">
    <w:name w:val="附录标识"/>
    <w:basedOn w:val="1"/>
    <w:next w:val="24"/>
    <w:qFormat/>
    <w:uiPriority w:val="0"/>
    <w:pPr>
      <w:keepNext/>
      <w:widowControl/>
      <w:numPr>
        <w:ilvl w:val="0"/>
        <w:numId w:val="11"/>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85">
    <w:name w:val="附录标题"/>
    <w:basedOn w:val="24"/>
    <w:next w:val="24"/>
    <w:qFormat/>
    <w:uiPriority w:val="0"/>
    <w:pPr>
      <w:ind w:firstLine="0" w:firstLineChars="0"/>
      <w:jc w:val="center"/>
    </w:pPr>
    <w:rPr>
      <w:rFonts w:ascii="黑体" w:eastAsia="黑体"/>
    </w:rPr>
  </w:style>
  <w:style w:type="paragraph" w:customStyle="1" w:styleId="86">
    <w:name w:val="附录表标号"/>
    <w:basedOn w:val="1"/>
    <w:next w:val="24"/>
    <w:qFormat/>
    <w:uiPriority w:val="0"/>
    <w:pPr>
      <w:numPr>
        <w:ilvl w:val="0"/>
        <w:numId w:val="12"/>
      </w:numPr>
      <w:tabs>
        <w:tab w:val="clear" w:pos="0"/>
      </w:tabs>
      <w:spacing w:line="14" w:lineRule="exact"/>
      <w:ind w:left="811" w:hanging="448"/>
      <w:jc w:val="center"/>
      <w:outlineLvl w:val="0"/>
    </w:pPr>
    <w:rPr>
      <w:color w:val="FFFFFF"/>
    </w:rPr>
  </w:style>
  <w:style w:type="paragraph" w:customStyle="1" w:styleId="87">
    <w:name w:val="附录表标题"/>
    <w:basedOn w:val="1"/>
    <w:next w:val="24"/>
    <w:qFormat/>
    <w:uiPriority w:val="0"/>
    <w:pPr>
      <w:numPr>
        <w:ilvl w:val="1"/>
        <w:numId w:val="12"/>
      </w:numPr>
      <w:tabs>
        <w:tab w:val="left" w:pos="180"/>
      </w:tabs>
      <w:spacing w:beforeLines="50" w:afterLines="50"/>
      <w:ind w:left="0" w:firstLine="0"/>
      <w:jc w:val="center"/>
    </w:pPr>
    <w:rPr>
      <w:rFonts w:ascii="黑体" w:eastAsia="黑体"/>
      <w:szCs w:val="21"/>
    </w:rPr>
  </w:style>
  <w:style w:type="paragraph" w:customStyle="1" w:styleId="88">
    <w:name w:val="附录二级条标题"/>
    <w:basedOn w:val="1"/>
    <w:next w:val="24"/>
    <w:qFormat/>
    <w:uiPriority w:val="0"/>
    <w:pPr>
      <w:widowControl/>
      <w:numPr>
        <w:ilvl w:val="3"/>
        <w:numId w:val="11"/>
      </w:num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89">
    <w:name w:val="附录二级无"/>
    <w:basedOn w:val="88"/>
    <w:qFormat/>
    <w:uiPriority w:val="0"/>
    <w:pPr>
      <w:tabs>
        <w:tab w:val="clear" w:pos="360"/>
      </w:tabs>
      <w:spacing w:beforeLines="0" w:afterLines="0"/>
    </w:pPr>
    <w:rPr>
      <w:rFonts w:ascii="宋体" w:eastAsia="宋体"/>
      <w:szCs w:val="21"/>
    </w:rPr>
  </w:style>
  <w:style w:type="paragraph" w:customStyle="1" w:styleId="90">
    <w:name w:val="附录公式"/>
    <w:basedOn w:val="24"/>
    <w:next w:val="24"/>
    <w:link w:val="91"/>
    <w:qFormat/>
    <w:uiPriority w:val="0"/>
  </w:style>
  <w:style w:type="character" w:customStyle="1" w:styleId="91">
    <w:name w:val="附录公式 Char"/>
    <w:basedOn w:val="41"/>
    <w:link w:val="90"/>
    <w:qFormat/>
    <w:uiPriority w:val="0"/>
    <w:rPr>
      <w:rFonts w:ascii="宋体"/>
      <w:sz w:val="21"/>
      <w:lang w:val="en-US" w:eastAsia="zh-CN" w:bidi="ar-SA"/>
    </w:rPr>
  </w:style>
  <w:style w:type="paragraph" w:customStyle="1" w:styleId="92">
    <w:name w:val="附录公式编号制表符"/>
    <w:basedOn w:val="1"/>
    <w:next w:val="24"/>
    <w:qFormat/>
    <w:uiPriority w:val="0"/>
    <w:pPr>
      <w:widowControl/>
      <w:tabs>
        <w:tab w:val="center" w:pos="4201"/>
        <w:tab w:val="right" w:leader="dot" w:pos="9298"/>
      </w:tabs>
      <w:autoSpaceDE w:val="0"/>
      <w:autoSpaceDN w:val="0"/>
    </w:pPr>
    <w:rPr>
      <w:rFonts w:ascii="宋体"/>
      <w:kern w:val="0"/>
      <w:szCs w:val="20"/>
    </w:rPr>
  </w:style>
  <w:style w:type="paragraph" w:customStyle="1" w:styleId="93">
    <w:name w:val="附录三级条标题"/>
    <w:basedOn w:val="88"/>
    <w:next w:val="24"/>
    <w:qFormat/>
    <w:uiPriority w:val="0"/>
    <w:pPr>
      <w:numPr>
        <w:ilvl w:val="4"/>
      </w:numPr>
      <w:outlineLvl w:val="4"/>
    </w:pPr>
  </w:style>
  <w:style w:type="paragraph" w:customStyle="1" w:styleId="94">
    <w:name w:val="附录三级无"/>
    <w:basedOn w:val="93"/>
    <w:qFormat/>
    <w:uiPriority w:val="0"/>
    <w:pPr>
      <w:tabs>
        <w:tab w:val="clear" w:pos="360"/>
      </w:tabs>
      <w:spacing w:beforeLines="0" w:afterLines="0"/>
    </w:pPr>
    <w:rPr>
      <w:rFonts w:ascii="宋体" w:eastAsia="宋体"/>
      <w:szCs w:val="21"/>
    </w:rPr>
  </w:style>
  <w:style w:type="paragraph" w:customStyle="1" w:styleId="95">
    <w:name w:val="附录数字编号列项（二级）"/>
    <w:qFormat/>
    <w:uiPriority w:val="0"/>
    <w:pPr>
      <w:numPr>
        <w:ilvl w:val="1"/>
        <w:numId w:val="13"/>
      </w:numPr>
    </w:pPr>
    <w:rPr>
      <w:rFonts w:ascii="宋体" w:hAnsi="Times New Roman" w:eastAsia="宋体" w:cs="Times New Roman"/>
      <w:sz w:val="21"/>
      <w:lang w:val="en-US" w:eastAsia="zh-CN" w:bidi="ar-SA"/>
    </w:rPr>
  </w:style>
  <w:style w:type="paragraph" w:customStyle="1" w:styleId="96">
    <w:name w:val="附录四级条标题"/>
    <w:basedOn w:val="93"/>
    <w:next w:val="24"/>
    <w:qFormat/>
    <w:uiPriority w:val="0"/>
    <w:pPr>
      <w:numPr>
        <w:ilvl w:val="5"/>
      </w:numPr>
      <w:outlineLvl w:val="5"/>
    </w:pPr>
  </w:style>
  <w:style w:type="paragraph" w:customStyle="1" w:styleId="97">
    <w:name w:val="附录四级无"/>
    <w:basedOn w:val="96"/>
    <w:qFormat/>
    <w:uiPriority w:val="0"/>
    <w:pPr>
      <w:tabs>
        <w:tab w:val="clear" w:pos="360"/>
      </w:tabs>
      <w:spacing w:beforeLines="0" w:afterLines="0"/>
    </w:pPr>
    <w:rPr>
      <w:rFonts w:ascii="宋体" w:eastAsia="宋体"/>
      <w:szCs w:val="21"/>
    </w:rPr>
  </w:style>
  <w:style w:type="paragraph" w:customStyle="1" w:styleId="98">
    <w:name w:val="附录图标号"/>
    <w:basedOn w:val="1"/>
    <w:qFormat/>
    <w:uiPriority w:val="0"/>
    <w:pPr>
      <w:keepNext/>
      <w:pageBreakBefore/>
      <w:widowControl/>
      <w:numPr>
        <w:ilvl w:val="0"/>
        <w:numId w:val="14"/>
      </w:numPr>
      <w:spacing w:line="14" w:lineRule="exact"/>
      <w:ind w:left="0" w:firstLine="363"/>
      <w:jc w:val="center"/>
      <w:outlineLvl w:val="0"/>
    </w:pPr>
    <w:rPr>
      <w:color w:val="FFFFFF"/>
    </w:rPr>
  </w:style>
  <w:style w:type="paragraph" w:customStyle="1" w:styleId="99">
    <w:name w:val="附录图标题"/>
    <w:basedOn w:val="1"/>
    <w:next w:val="24"/>
    <w:qFormat/>
    <w:uiPriority w:val="0"/>
    <w:pPr>
      <w:numPr>
        <w:ilvl w:val="1"/>
        <w:numId w:val="14"/>
      </w:numPr>
      <w:tabs>
        <w:tab w:val="left" w:pos="363"/>
      </w:tabs>
      <w:spacing w:beforeLines="50" w:afterLines="50"/>
      <w:ind w:left="0" w:firstLine="0"/>
      <w:jc w:val="center"/>
    </w:pPr>
    <w:rPr>
      <w:rFonts w:ascii="黑体" w:eastAsia="黑体"/>
      <w:szCs w:val="21"/>
    </w:rPr>
  </w:style>
  <w:style w:type="paragraph" w:customStyle="1" w:styleId="100">
    <w:name w:val="附录五级条标题"/>
    <w:basedOn w:val="96"/>
    <w:next w:val="24"/>
    <w:qFormat/>
    <w:uiPriority w:val="0"/>
    <w:pPr>
      <w:numPr>
        <w:ilvl w:val="6"/>
      </w:numPr>
      <w:outlineLvl w:val="6"/>
    </w:pPr>
  </w:style>
  <w:style w:type="paragraph" w:customStyle="1" w:styleId="101">
    <w:name w:val="附录五级无"/>
    <w:basedOn w:val="100"/>
    <w:qFormat/>
    <w:uiPriority w:val="0"/>
    <w:pPr>
      <w:tabs>
        <w:tab w:val="clear" w:pos="360"/>
      </w:tabs>
      <w:spacing w:beforeLines="0" w:afterLines="0"/>
    </w:pPr>
    <w:rPr>
      <w:rFonts w:ascii="宋体" w:eastAsia="宋体"/>
      <w:szCs w:val="21"/>
    </w:rPr>
  </w:style>
  <w:style w:type="paragraph" w:customStyle="1" w:styleId="102">
    <w:name w:val="附录章标题"/>
    <w:next w:val="24"/>
    <w:qFormat/>
    <w:uiPriority w:val="0"/>
    <w:pPr>
      <w:numPr>
        <w:ilvl w:val="1"/>
        <w:numId w:val="11"/>
      </w:num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03">
    <w:name w:val="附录一级条标题"/>
    <w:basedOn w:val="102"/>
    <w:next w:val="24"/>
    <w:qFormat/>
    <w:uiPriority w:val="0"/>
    <w:pPr>
      <w:numPr>
        <w:ilvl w:val="2"/>
      </w:numPr>
      <w:autoSpaceDN w:val="0"/>
      <w:spacing w:beforeLines="50" w:afterLines="50"/>
      <w:outlineLvl w:val="2"/>
    </w:pPr>
  </w:style>
  <w:style w:type="paragraph" w:customStyle="1" w:styleId="104">
    <w:name w:val="附录一级无"/>
    <w:basedOn w:val="103"/>
    <w:qFormat/>
    <w:uiPriority w:val="0"/>
    <w:pPr>
      <w:tabs>
        <w:tab w:val="clear" w:pos="360"/>
      </w:tabs>
      <w:spacing w:beforeLines="0" w:afterLines="0"/>
    </w:pPr>
    <w:rPr>
      <w:rFonts w:ascii="宋体" w:eastAsia="宋体"/>
      <w:szCs w:val="21"/>
    </w:rPr>
  </w:style>
  <w:style w:type="paragraph" w:customStyle="1" w:styleId="105">
    <w:name w:val="附录字母编号列项（一级）"/>
    <w:qFormat/>
    <w:uiPriority w:val="0"/>
    <w:pPr>
      <w:numPr>
        <w:ilvl w:val="0"/>
        <w:numId w:val="13"/>
      </w:numPr>
    </w:pPr>
    <w:rPr>
      <w:rFonts w:ascii="宋体" w:hAnsi="Times New Roman" w:eastAsia="宋体" w:cs="Times New Roman"/>
      <w:sz w:val="21"/>
      <w:lang w:val="en-US" w:eastAsia="zh-CN" w:bidi="ar-SA"/>
    </w:rPr>
  </w:style>
  <w:style w:type="paragraph" w:customStyle="1" w:styleId="106">
    <w:name w:val="列项说明"/>
    <w:basedOn w:val="1"/>
    <w:qFormat/>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107">
    <w:name w:val="列项说明数字编号"/>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108">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09">
    <w:name w:val="其他标准标志"/>
    <w:basedOn w:val="66"/>
    <w:qFormat/>
    <w:uiPriority w:val="0"/>
    <w:pPr>
      <w:framePr w:w="6101" w:wrap="around" w:vAnchor="page" w:hAnchor="page" w:x="4673" w:y="942"/>
    </w:pPr>
    <w:rPr>
      <w:w w:val="130"/>
    </w:rPr>
  </w:style>
  <w:style w:type="paragraph" w:customStyle="1" w:styleId="110">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11">
    <w:name w:val="其他发布部门"/>
    <w:basedOn w:val="74"/>
    <w:qFormat/>
    <w:uiPriority w:val="0"/>
    <w:pPr>
      <w:framePr w:wrap="around" w:y="15310"/>
      <w:spacing w:line="0" w:lineRule="atLeast"/>
    </w:pPr>
    <w:rPr>
      <w:rFonts w:ascii="黑体" w:eastAsia="黑体"/>
      <w:b w:val="0"/>
    </w:rPr>
  </w:style>
  <w:style w:type="paragraph" w:customStyle="1" w:styleId="112">
    <w:name w:val="前言、引言标题"/>
    <w:next w:val="24"/>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13">
    <w:name w:val="三级无"/>
    <w:basedOn w:val="51"/>
    <w:qFormat/>
    <w:uiPriority w:val="0"/>
    <w:pPr>
      <w:spacing w:beforeLines="0" w:afterLines="0"/>
    </w:pPr>
    <w:rPr>
      <w:rFonts w:ascii="宋体" w:eastAsia="宋体"/>
    </w:rPr>
  </w:style>
  <w:style w:type="paragraph" w:customStyle="1" w:styleId="114">
    <w:name w:val="实施日期"/>
    <w:qFormat/>
    <w:uiPriority w:val="0"/>
    <w:pPr>
      <w:framePr w:w="3997" w:h="471" w:hRule="exact" w:vSpace="181" w:wrap="around" w:vAnchor="page" w:hAnchor="page" w:x="7089" w:y="14097"/>
      <w:jc w:val="right"/>
    </w:pPr>
    <w:rPr>
      <w:rFonts w:ascii="Times New Roman" w:hAnsi="Times New Roman" w:eastAsia="黑体" w:cs="Times New Roman"/>
      <w:sz w:val="28"/>
      <w:lang w:val="en-US" w:eastAsia="zh-CN" w:bidi="ar-SA"/>
    </w:rPr>
  </w:style>
  <w:style w:type="paragraph" w:customStyle="1" w:styleId="115">
    <w:name w:val="示例后文字"/>
    <w:basedOn w:val="24"/>
    <w:next w:val="24"/>
    <w:qFormat/>
    <w:uiPriority w:val="0"/>
    <w:pPr>
      <w:ind w:firstLine="360"/>
    </w:pPr>
    <w:rPr>
      <w:sz w:val="18"/>
    </w:rPr>
  </w:style>
  <w:style w:type="paragraph" w:customStyle="1" w:styleId="116">
    <w:name w:val="首示例"/>
    <w:next w:val="24"/>
    <w:link w:val="117"/>
    <w:qFormat/>
    <w:uiPriority w:val="0"/>
    <w:pPr>
      <w:tabs>
        <w:tab w:val="left" w:pos="360"/>
      </w:tabs>
    </w:pPr>
    <w:rPr>
      <w:rFonts w:ascii="宋体" w:hAnsi="宋体" w:eastAsia="宋体" w:cs="Times New Roman"/>
      <w:kern w:val="2"/>
      <w:sz w:val="18"/>
      <w:szCs w:val="18"/>
      <w:lang w:val="en-US" w:eastAsia="zh-CN" w:bidi="ar-SA"/>
    </w:rPr>
  </w:style>
  <w:style w:type="character" w:customStyle="1" w:styleId="117">
    <w:name w:val="首示例 Char"/>
    <w:link w:val="116"/>
    <w:qFormat/>
    <w:uiPriority w:val="0"/>
    <w:rPr>
      <w:rFonts w:ascii="宋体" w:hAnsi="宋体"/>
      <w:kern w:val="2"/>
      <w:sz w:val="18"/>
      <w:szCs w:val="18"/>
    </w:rPr>
  </w:style>
  <w:style w:type="paragraph" w:customStyle="1" w:styleId="118">
    <w:name w:val="四级无"/>
    <w:basedOn w:val="55"/>
    <w:qFormat/>
    <w:uiPriority w:val="0"/>
    <w:pPr>
      <w:spacing w:beforeLines="0" w:afterLines="0"/>
    </w:pPr>
    <w:rPr>
      <w:rFonts w:ascii="宋体" w:eastAsia="宋体"/>
    </w:rPr>
  </w:style>
  <w:style w:type="paragraph" w:customStyle="1" w:styleId="119">
    <w:name w:val="条文脚注"/>
    <w:basedOn w:val="25"/>
    <w:qFormat/>
    <w:uiPriority w:val="0"/>
    <w:pPr>
      <w:numPr>
        <w:numId w:val="0"/>
      </w:numPr>
      <w:jc w:val="both"/>
    </w:pPr>
  </w:style>
  <w:style w:type="paragraph" w:customStyle="1" w:styleId="120">
    <w:name w:val="图标脚注说明"/>
    <w:basedOn w:val="24"/>
    <w:qFormat/>
    <w:uiPriority w:val="0"/>
    <w:pPr>
      <w:ind w:left="840" w:hanging="420" w:firstLineChars="0"/>
    </w:pPr>
    <w:rPr>
      <w:sz w:val="18"/>
      <w:szCs w:val="18"/>
    </w:rPr>
  </w:style>
  <w:style w:type="paragraph" w:customStyle="1" w:styleId="121">
    <w:name w:val="图表脚注说明"/>
    <w:basedOn w:val="1"/>
    <w:qFormat/>
    <w:uiPriority w:val="0"/>
    <w:pPr>
      <w:numPr>
        <w:ilvl w:val="0"/>
        <w:numId w:val="15"/>
      </w:numPr>
    </w:pPr>
    <w:rPr>
      <w:rFonts w:ascii="宋体"/>
      <w:sz w:val="18"/>
      <w:szCs w:val="18"/>
    </w:rPr>
  </w:style>
  <w:style w:type="paragraph" w:customStyle="1" w:styleId="122">
    <w:name w:val="图的脚注"/>
    <w:next w:val="24"/>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23">
    <w:name w:val="文献分类号"/>
    <w:qFormat/>
    <w:uiPriority w:val="0"/>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24">
    <w:name w:val="五级无"/>
    <w:basedOn w:val="56"/>
    <w:qFormat/>
    <w:uiPriority w:val="0"/>
    <w:pPr>
      <w:spacing w:beforeLines="0" w:afterLines="0"/>
    </w:pPr>
    <w:rPr>
      <w:rFonts w:ascii="宋体" w:eastAsia="宋体"/>
    </w:rPr>
  </w:style>
  <w:style w:type="paragraph" w:customStyle="1" w:styleId="125">
    <w:name w:val="一级无"/>
    <w:basedOn w:val="42"/>
    <w:qFormat/>
    <w:uiPriority w:val="0"/>
    <w:pPr>
      <w:spacing w:beforeLines="0" w:afterLines="0"/>
    </w:pPr>
    <w:rPr>
      <w:rFonts w:ascii="宋体" w:eastAsia="宋体"/>
    </w:rPr>
  </w:style>
  <w:style w:type="paragraph" w:customStyle="1" w:styleId="126">
    <w:name w:val="正文表标题"/>
    <w:next w:val="24"/>
    <w:qFormat/>
    <w:uiPriority w:val="0"/>
    <w:pPr>
      <w:numPr>
        <w:ilvl w:val="0"/>
        <w:numId w:val="16"/>
      </w:numPr>
      <w:spacing w:beforeLines="50" w:afterLines="50"/>
      <w:jc w:val="center"/>
    </w:pPr>
    <w:rPr>
      <w:rFonts w:ascii="黑体" w:hAnsi="Times New Roman" w:eastAsia="黑体" w:cs="Times New Roman"/>
      <w:sz w:val="21"/>
      <w:lang w:val="en-US" w:eastAsia="zh-CN" w:bidi="ar-SA"/>
    </w:rPr>
  </w:style>
  <w:style w:type="paragraph" w:customStyle="1" w:styleId="127">
    <w:name w:val="正文公式编号制表符"/>
    <w:basedOn w:val="24"/>
    <w:next w:val="24"/>
    <w:qFormat/>
    <w:uiPriority w:val="0"/>
    <w:pPr>
      <w:ind w:firstLine="0" w:firstLineChars="0"/>
    </w:pPr>
  </w:style>
  <w:style w:type="paragraph" w:customStyle="1" w:styleId="128">
    <w:name w:val="正文图标题"/>
    <w:next w:val="24"/>
    <w:qFormat/>
    <w:uiPriority w:val="0"/>
    <w:pPr>
      <w:numPr>
        <w:ilvl w:val="0"/>
        <w:numId w:val="17"/>
      </w:numPr>
      <w:spacing w:beforeLines="50" w:afterLines="50"/>
      <w:jc w:val="center"/>
    </w:pPr>
    <w:rPr>
      <w:rFonts w:ascii="黑体" w:hAnsi="Times New Roman" w:eastAsia="黑体" w:cs="Times New Roman"/>
      <w:sz w:val="21"/>
      <w:lang w:val="en-US" w:eastAsia="zh-CN" w:bidi="ar-SA"/>
    </w:rPr>
  </w:style>
  <w:style w:type="paragraph" w:customStyle="1" w:styleId="129">
    <w:name w:val="终结线"/>
    <w:basedOn w:val="1"/>
    <w:qFormat/>
    <w:uiPriority w:val="0"/>
    <w:pPr>
      <w:framePr w:hSpace="181" w:vSpace="181" w:wrap="around" w:vAnchor="text" w:hAnchor="margin" w:xAlign="center" w:y="285"/>
    </w:pPr>
  </w:style>
  <w:style w:type="paragraph" w:customStyle="1" w:styleId="130">
    <w:name w:val="其他发布日期"/>
    <w:qFormat/>
    <w:uiPriority w:val="0"/>
    <w:pPr>
      <w:framePr w:w="3997" w:h="471" w:hRule="exact" w:vSpace="181" w:wrap="around" w:vAnchor="page" w:hAnchor="page" w:x="1419" w:y="14097" w:anchorLock="1"/>
    </w:pPr>
    <w:rPr>
      <w:rFonts w:ascii="Times New Roman" w:hAnsi="Times New Roman" w:eastAsia="黑体" w:cs="Times New Roman"/>
      <w:sz w:val="28"/>
      <w:lang w:val="en-US" w:eastAsia="zh-CN" w:bidi="ar-SA"/>
    </w:rPr>
  </w:style>
  <w:style w:type="paragraph" w:customStyle="1" w:styleId="131">
    <w:name w:val="其他实施日期"/>
    <w:basedOn w:val="114"/>
    <w:qFormat/>
    <w:uiPriority w:val="0"/>
    <w:pPr>
      <w:framePr w:wrap="around"/>
    </w:pPr>
  </w:style>
  <w:style w:type="paragraph" w:customStyle="1" w:styleId="132">
    <w:name w:val="封面标准名称2"/>
    <w:basedOn w:val="78"/>
    <w:qFormat/>
    <w:uiPriority w:val="0"/>
    <w:pPr>
      <w:framePr w:wrap="around" w:y="4469"/>
      <w:spacing w:beforeLines="630"/>
    </w:pPr>
  </w:style>
  <w:style w:type="paragraph" w:customStyle="1" w:styleId="133">
    <w:name w:val="封面标准英文名称2"/>
    <w:basedOn w:val="79"/>
    <w:qFormat/>
    <w:uiPriority w:val="0"/>
    <w:pPr>
      <w:framePr w:wrap="around" w:y="4469"/>
    </w:pPr>
  </w:style>
  <w:style w:type="paragraph" w:customStyle="1" w:styleId="134">
    <w:name w:val="封面一致性程度标识2"/>
    <w:basedOn w:val="80"/>
    <w:qFormat/>
    <w:uiPriority w:val="0"/>
    <w:pPr>
      <w:framePr w:wrap="around" w:y="4469"/>
    </w:pPr>
  </w:style>
  <w:style w:type="paragraph" w:customStyle="1" w:styleId="135">
    <w:name w:val="封面标准文稿类别2"/>
    <w:basedOn w:val="81"/>
    <w:qFormat/>
    <w:uiPriority w:val="0"/>
    <w:pPr>
      <w:framePr w:wrap="around" w:y="4469"/>
    </w:pPr>
  </w:style>
  <w:style w:type="paragraph" w:customStyle="1" w:styleId="136">
    <w:name w:val="封面标准文稿编辑信息2"/>
    <w:basedOn w:val="82"/>
    <w:qFormat/>
    <w:uiPriority w:val="0"/>
    <w:pPr>
      <w:framePr w:wrap="around" w:y="4469"/>
    </w:pPr>
  </w:style>
  <w:style w:type="paragraph" w:customStyle="1" w:styleId="137">
    <w:name w:val="标准名称"/>
    <w:basedOn w:val="50"/>
    <w:link w:val="140"/>
    <w:qFormat/>
    <w:uiPriority w:val="0"/>
  </w:style>
  <w:style w:type="character" w:styleId="138">
    <w:name w:val="Placeholder Text"/>
    <w:basedOn w:val="35"/>
    <w:semiHidden/>
    <w:qFormat/>
    <w:uiPriority w:val="99"/>
    <w:rPr>
      <w:color w:val="808080"/>
    </w:rPr>
  </w:style>
  <w:style w:type="character" w:customStyle="1" w:styleId="139">
    <w:name w:val="目次、标准名称标题 Char"/>
    <w:basedOn w:val="35"/>
    <w:link w:val="50"/>
    <w:qFormat/>
    <w:uiPriority w:val="0"/>
    <w:rPr>
      <w:rFonts w:ascii="黑体" w:eastAsia="黑体"/>
      <w:sz w:val="32"/>
      <w:shd w:val="clear" w:color="FFFFFF" w:fill="FFFFFF"/>
    </w:rPr>
  </w:style>
  <w:style w:type="character" w:customStyle="1" w:styleId="140">
    <w:name w:val="标准名称 Char"/>
    <w:basedOn w:val="139"/>
    <w:link w:val="137"/>
    <w:qFormat/>
    <w:uiPriority w:val="0"/>
    <w:rPr>
      <w:rFonts w:ascii="黑体" w:eastAsia="黑体"/>
      <w:sz w:val="32"/>
      <w:shd w:val="clear" w:color="FFFFFF" w:fill="FFFFFF"/>
    </w:rPr>
  </w:style>
  <w:style w:type="character" w:customStyle="1" w:styleId="141">
    <w:name w:val="批注框文本 Char"/>
    <w:basedOn w:val="35"/>
    <w:link w:val="17"/>
    <w:qFormat/>
    <w:uiPriority w:val="0"/>
    <w:rPr>
      <w:kern w:val="2"/>
      <w:sz w:val="18"/>
      <w:szCs w:val="18"/>
    </w:rPr>
  </w:style>
  <w:style w:type="paragraph" w:customStyle="1" w:styleId="142">
    <w:name w:val="标准文件_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styleId="143">
    <w:name w:val="List Paragraph"/>
    <w:basedOn w:val="1"/>
    <w:qFormat/>
    <w:uiPriority w:val="1"/>
    <w:pPr>
      <w:autoSpaceDE w:val="0"/>
      <w:autoSpaceDN w:val="0"/>
      <w:spacing w:before="172"/>
      <w:ind w:left="1160" w:hanging="360"/>
      <w:jc w:val="left"/>
    </w:pPr>
    <w:rPr>
      <w:rFonts w:ascii="宋体" w:hAnsi="宋体" w:cs="宋体"/>
      <w:kern w:val="0"/>
      <w:sz w:val="22"/>
      <w:szCs w:val="22"/>
    </w:rPr>
  </w:style>
  <w:style w:type="character" w:customStyle="1" w:styleId="144">
    <w:name w:val="正文文本 Char"/>
    <w:link w:val="9"/>
    <w:qFormat/>
    <w:uiPriority w:val="0"/>
  </w:style>
  <w:style w:type="character" w:customStyle="1" w:styleId="145">
    <w:name w:val="标题 2 Char"/>
    <w:link w:val="2"/>
    <w:qFormat/>
    <w:uiPriority w:val="0"/>
    <w:rPr>
      <w:rFonts w:ascii="Arial" w:hAnsi="Arial" w:eastAsia="黑体"/>
      <w:b/>
      <w:sz w:val="32"/>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glossaryDocument" Target="glossary/document.xml"/><Relationship Id="rId12" Type="http://schemas.openxmlformats.org/officeDocument/2006/relationships/fontTable" Target="fontTable.xml"/><Relationship Id="rId11" Type="http://schemas.microsoft.com/office/2006/relationships/keyMapCustomizations" Target="customizations.xml"/><Relationship Id="rId10" Type="http://schemas.openxmlformats.org/officeDocument/2006/relationships/numbering" Target="numbering.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111"/>
        <w:style w:val=""/>
        <w:category>
          <w:name w:val="常规"/>
          <w:gallery w:val="placeholder"/>
        </w:category>
        <w:types>
          <w:type w:val="bbPlcHdr"/>
        </w:types>
        <w:behaviors>
          <w:behavior w:val="content"/>
        </w:behaviors>
        <w:description w:val=""/>
        <w:guid w:val="{028989F2-0355-49D4-BDA6-4D56B5D374C0}"/>
      </w:docPartPr>
      <w:docPartBody>
        <w:p w14:paraId="2B658509">
          <w:pPr>
            <w:pStyle w:val="5"/>
          </w:pPr>
          <w:r>
            <w:rPr>
              <w:rStyle w:val="4"/>
              <w:rFonts w:hint="eastAsia"/>
            </w:rPr>
            <w:t>标准名称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13A"/>
    <w:rsid w:val="0002647A"/>
    <w:rsid w:val="0002653F"/>
    <w:rsid w:val="00080DE3"/>
    <w:rsid w:val="00087E40"/>
    <w:rsid w:val="000C73CF"/>
    <w:rsid w:val="000D2EDF"/>
    <w:rsid w:val="001132F9"/>
    <w:rsid w:val="00114ABC"/>
    <w:rsid w:val="001C0903"/>
    <w:rsid w:val="001C16E0"/>
    <w:rsid w:val="002068C7"/>
    <w:rsid w:val="002A3285"/>
    <w:rsid w:val="002E12BE"/>
    <w:rsid w:val="00323E80"/>
    <w:rsid w:val="003372E5"/>
    <w:rsid w:val="00370220"/>
    <w:rsid w:val="003750AF"/>
    <w:rsid w:val="003B1211"/>
    <w:rsid w:val="00430F92"/>
    <w:rsid w:val="004602E3"/>
    <w:rsid w:val="00471368"/>
    <w:rsid w:val="00481DE3"/>
    <w:rsid w:val="004F113A"/>
    <w:rsid w:val="004F1EC5"/>
    <w:rsid w:val="00515A81"/>
    <w:rsid w:val="005335DD"/>
    <w:rsid w:val="00595E09"/>
    <w:rsid w:val="005961D0"/>
    <w:rsid w:val="00674FBA"/>
    <w:rsid w:val="006B7F21"/>
    <w:rsid w:val="006D02E4"/>
    <w:rsid w:val="00715BEA"/>
    <w:rsid w:val="007216E9"/>
    <w:rsid w:val="007C6ACB"/>
    <w:rsid w:val="007E2797"/>
    <w:rsid w:val="00800293"/>
    <w:rsid w:val="00820E7E"/>
    <w:rsid w:val="008E024D"/>
    <w:rsid w:val="008F0268"/>
    <w:rsid w:val="00902EF8"/>
    <w:rsid w:val="00971BCC"/>
    <w:rsid w:val="00982DAC"/>
    <w:rsid w:val="009B16B1"/>
    <w:rsid w:val="00A94E45"/>
    <w:rsid w:val="00AC7EA0"/>
    <w:rsid w:val="00AD6808"/>
    <w:rsid w:val="00B717AC"/>
    <w:rsid w:val="00BC67AA"/>
    <w:rsid w:val="00C875D2"/>
    <w:rsid w:val="00CB0B2B"/>
    <w:rsid w:val="00CF4091"/>
    <w:rsid w:val="00D4454B"/>
    <w:rsid w:val="00D65DD7"/>
    <w:rsid w:val="00DA4409"/>
    <w:rsid w:val="00E95A08"/>
    <w:rsid w:val="00EA15BD"/>
    <w:rsid w:val="00EA32AC"/>
    <w:rsid w:val="00F1551F"/>
    <w:rsid w:val="00F479D2"/>
    <w:rsid w:val="00F93653"/>
    <w:rsid w:val="00FF0B73"/>
    <w:rsid w:val="00FF0EC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jc w:val="both"/>
    </w:pPr>
    <w:rPr>
      <w:rFonts w:cs="Times New Roman" w:asciiTheme="minorHAnsi" w:hAnsiTheme="minorHAnsi" w:eastAsiaTheme="minorEastAsia"/>
      <w:kern w:val="2"/>
      <w:sz w:val="3276"/>
      <w:szCs w:val="3276"/>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1112"/>
    <w:qFormat/>
    <w:uiPriority w:val="0"/>
    <w:pPr>
      <w:keepNext/>
      <w:pageBreakBefore/>
      <w:shd w:val="clear" w:color="FFFFFF" w:fill="FFFFFF"/>
      <w:spacing w:before="640" w:after="560" w:line="460" w:lineRule="exact"/>
      <w:jc w:val="center"/>
      <w:outlineLvl w:val="0"/>
    </w:pPr>
    <w:rPr>
      <w:rFonts w:ascii="黑体" w:hAnsi="Times New Roman" w:eastAsia="黑体" w:cs="Times New Roman"/>
      <w:sz w:val="3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29</Pages>
  <Words>14126</Words>
  <Characters>17013</Characters>
  <Lines>141</Lines>
  <Paragraphs>39</Paragraphs>
  <TotalTime>26</TotalTime>
  <ScaleCrop>false</ScaleCrop>
  <LinksUpToDate>false</LinksUpToDate>
  <CharactersWithSpaces>17817</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2024-07-24T11:51:00Z</dcterms:created>
  <dc:creator>sdis</dc:creator>
  <cp:lastModifiedBy>委员会</cp:lastModifiedBy>
  <dcterms:modified xsi:type="dcterms:W3CDTF">2024-09-10T07:57:11Z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56A471B9BBD64551A84EEA05C0ECC8A2_12</vt:lpwstr>
  </property>
</Properties>
</file>