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FF6925">
      <w:pPr>
        <w:pStyle w:val="125"/>
        <w:framePr w:wrap="around"/>
      </w:pPr>
      <w:r>
        <w:rPr>
          <w:rFonts w:ascii="Times New Roman"/>
        </w:rPr>
        <w:t>ICS</w:t>
      </w:r>
      <w:r>
        <w:rPr>
          <w:rFonts w:hAnsi="黑体"/>
        </w:rPr>
        <w:t> </w:t>
      </w:r>
      <w:r>
        <w:fldChar w:fldCharType="begin">
          <w:ffData>
            <w:name w:val="ICS"/>
            <w:enabled/>
            <w:calcOnExit w:val="0"/>
            <w:helpText w:type="text" w:val="请输入正确的ICS号："/>
            <w:textInput>
              <w:default w:val="点击此处添加ICS号"/>
            </w:textInput>
          </w:ffData>
        </w:fldChar>
      </w:r>
      <w:bookmarkStart w:id="0" w:name="ICS"/>
      <w:r>
        <w:instrText xml:space="preserve"> FORMTEXT </w:instrText>
      </w:r>
      <w:r>
        <w:fldChar w:fldCharType="separate"/>
      </w:r>
      <w:r>
        <w:rPr>
          <w:rFonts w:hint="eastAsia"/>
        </w:rPr>
        <w:t>07.080</w:t>
      </w:r>
      <w:r>
        <w:fldChar w:fldCharType="end"/>
      </w:r>
      <w:bookmarkEnd w:id="0"/>
    </w:p>
    <w:p w14:paraId="1BEE41E5">
      <w:pPr>
        <w:pStyle w:val="125"/>
        <w:framePr w:wrap="around"/>
      </w:pPr>
      <w:r>
        <w:fldChar w:fldCharType="begin">
          <w:ffData>
            <w:name w:val="WXFLH"/>
            <w:enabled/>
            <w:calcOnExit w:val="0"/>
            <w:helpText w:type="text" w:val="请输入中国标准文献分类号："/>
            <w:textInput>
              <w:default w:val="点击此处添加中国标准文献分类号"/>
            </w:textInput>
          </w:ffData>
        </w:fldChar>
      </w:r>
      <w:bookmarkStart w:id="1" w:name="WXFLH"/>
      <w:r>
        <w:instrText xml:space="preserve"> FORMTEXT </w:instrText>
      </w:r>
      <w:r>
        <w:fldChar w:fldCharType="separate"/>
      </w:r>
      <w:r>
        <w:rPr>
          <w:rFonts w:hint="eastAsia"/>
        </w:rPr>
        <w:t>CCS O81</w:t>
      </w:r>
      <w:r>
        <w:fldChar w:fldCharType="end"/>
      </w:r>
      <w:bookmarkEnd w:id="1"/>
    </w:p>
    <w:tbl>
      <w:tblPr>
        <w:tblStyle w:val="3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8"/>
      </w:tblGrid>
      <w:tr w14:paraId="19FB8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28" w:type="dxa"/>
            <w:tcBorders>
              <w:top w:val="nil"/>
              <w:left w:val="nil"/>
              <w:bottom w:val="nil"/>
              <w:right w:val="nil"/>
            </w:tcBorders>
            <w:shd w:val="clear" w:color="auto" w:fill="auto"/>
          </w:tcPr>
          <w:p w14:paraId="1CC83AD4">
            <w:pPr>
              <w:pStyle w:val="125"/>
              <w:framePr w:wrap="around"/>
            </w:pPr>
            <w:r>
              <w:fldChar w:fldCharType="begin">
                <w:ffData>
                  <w:name w:val="BAH"/>
                  <w:enabled/>
                  <w:calcOnExit w:val="0"/>
                  <w:textInput/>
                </w:ffData>
              </w:fldChar>
            </w:r>
            <w:bookmarkStart w:id="2" w:name="BAH"/>
            <w:r>
              <w:instrText xml:space="preserve"> </w:instrText>
            </w:r>
            <w:r>
              <w:rPr>
                <w:rFonts w:hint="eastAsia"/>
              </w:rPr>
              <w:instrText xml:space="preserve">FORMTEXT</w:instrText>
            </w:r>
            <w:r>
              <w:instrText xml:space="preserve"> </w:instrText>
            </w:r>
            <w:r>
              <w:fldChar w:fldCharType="separate"/>
            </w:r>
            <w:r>
              <w:t>     </w:t>
            </w:r>
            <w:r>
              <w:fldChar w:fldCharType="end"/>
            </w:r>
            <w:bookmarkEnd w:id="2"/>
          </w:p>
        </w:tc>
      </w:tr>
    </w:tbl>
    <w:p w14:paraId="271292B9">
      <w:pPr>
        <w:pStyle w:val="111"/>
        <w:framePr w:wrap="around" w:x="4600"/>
        <w:ind w:right="-140"/>
      </w:pPr>
      <w:r>
        <w:t>T/SDASTC</w:t>
      </w:r>
    </w:p>
    <w:p w14:paraId="05B3EBE0">
      <w:pPr>
        <w:pStyle w:val="112"/>
        <w:framePr w:wrap="around"/>
        <w:rPr>
          <w:rFonts w:ascii="Times New Roman" w:hAnsi="Times New Roman"/>
        </w:rPr>
      </w:pPr>
      <w:r>
        <w:rPr>
          <w:rFonts w:hint="eastAsia"/>
        </w:rPr>
        <w:t>团体</w:t>
      </w:r>
      <w:r>
        <w:t>标</w:t>
      </w:r>
      <w:r>
        <w:rPr>
          <w:rFonts w:ascii="Times New Roman" w:hAnsi="Times New Roman"/>
        </w:rPr>
        <w:t>准</w:t>
      </w:r>
    </w:p>
    <w:p w14:paraId="379ED1E0">
      <w:pPr>
        <w:pStyle w:val="49"/>
        <w:framePr w:wrap="around"/>
        <w:rPr>
          <w:rFonts w:hint="eastAsia" w:hAnsi="黑体"/>
        </w:rPr>
      </w:pPr>
      <w:r>
        <w:rPr>
          <w:rFonts w:ascii="Times New Roman"/>
        </w:rPr>
        <w:t>T/</w:t>
      </w:r>
      <w:r>
        <w:rPr>
          <w:rFonts w:ascii="Times New Roman"/>
        </w:rPr>
        <w:fldChar w:fldCharType="begin">
          <w:ffData>
            <w:name w:val="StdNo0"/>
            <w:enabled/>
            <w:calcOnExit w:val="0"/>
            <w:textInput>
              <w:default w:val="×××"/>
            </w:textInput>
          </w:ffData>
        </w:fldChar>
      </w:r>
      <w:bookmarkStart w:id="3" w:name="StdNo0"/>
      <w:r>
        <w:rPr>
          <w:rFonts w:ascii="Times New Roman"/>
        </w:rPr>
        <w:instrText xml:space="preserve"> FORMTEXT </w:instrText>
      </w:r>
      <w:r>
        <w:rPr>
          <w:rFonts w:ascii="Times New Roman"/>
        </w:rPr>
        <w:fldChar w:fldCharType="separate"/>
      </w:r>
      <w:r>
        <w:rPr>
          <w:rFonts w:ascii="Times New Roman"/>
        </w:rPr>
        <w:t>SDASTC</w:t>
      </w:r>
      <w:r>
        <w:rPr>
          <w:rFonts w:ascii="Times New Roman"/>
        </w:rPr>
        <w:fldChar w:fldCharType="end"/>
      </w:r>
      <w:bookmarkEnd w:id="3"/>
      <w:r>
        <w:rPr>
          <w:rFonts w:hAnsi="黑体"/>
        </w:rPr>
        <w:t xml:space="preserve"> </w:t>
      </w:r>
      <w:r>
        <w:rPr>
          <w:rFonts w:hAnsi="黑体"/>
        </w:rPr>
        <w:fldChar w:fldCharType="begin">
          <w:ffData>
            <w:name w:val="StdNo1"/>
            <w:enabled/>
            <w:calcOnExit w:val="0"/>
            <w:textInput>
              <w:default w:val="××××"/>
            </w:textInput>
          </w:ffData>
        </w:fldChar>
      </w:r>
      <w:bookmarkStart w:id="4" w:name="StdNo1"/>
      <w:r>
        <w:rPr>
          <w:rFonts w:hAnsi="黑体"/>
        </w:rPr>
        <w:instrText xml:space="preserve"> FORMTEXT </w:instrText>
      </w:r>
      <w:r>
        <w:rPr>
          <w:rFonts w:hAnsi="黑体"/>
        </w:rPr>
        <w:fldChar w:fldCharType="separate"/>
      </w:r>
      <w:r>
        <w:rPr>
          <w:rFonts w:hAnsi="黑体"/>
        </w:rPr>
        <w:t>××××</w:t>
      </w:r>
      <w:r>
        <w:rPr>
          <w:rFonts w:hAnsi="黑体"/>
        </w:rPr>
        <w:fldChar w:fldCharType="end"/>
      </w:r>
      <w:bookmarkEnd w:id="4"/>
      <w:r>
        <w:rPr>
          <w:rFonts w:hAnsi="黑体"/>
        </w:rPr>
        <w:t>—</w:t>
      </w:r>
      <w:r>
        <w:rPr>
          <w:rFonts w:hAnsi="黑体"/>
        </w:rPr>
        <w:fldChar w:fldCharType="begin">
          <w:ffData>
            <w:name w:val="StdNo2"/>
            <w:enabled/>
            <w:calcOnExit w:val="0"/>
            <w:textInput>
              <w:default w:val="××××"/>
              <w:maxLength w:val="4"/>
            </w:textInput>
          </w:ffData>
        </w:fldChar>
      </w:r>
      <w:bookmarkStart w:id="5" w:name="StdNo2"/>
      <w:r>
        <w:rPr>
          <w:rFonts w:hAnsi="黑体"/>
        </w:rPr>
        <w:instrText xml:space="preserve"> FORMTEXT </w:instrText>
      </w:r>
      <w:r>
        <w:rPr>
          <w:rFonts w:hAnsi="黑体"/>
        </w:rPr>
        <w:fldChar w:fldCharType="separate"/>
      </w:r>
      <w:r>
        <w:rPr>
          <w:rFonts w:hAnsi="黑体"/>
        </w:rPr>
        <w:t>××××</w:t>
      </w:r>
      <w:r>
        <w:rPr>
          <w:rFonts w:hAnsi="黑体"/>
        </w:rPr>
        <w:fldChar w:fldCharType="end"/>
      </w:r>
      <w:bookmarkEnd w:id="5"/>
    </w:p>
    <w:tbl>
      <w:tblPr>
        <w:tblStyle w:val="3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130"/>
      </w:tblGrid>
      <w:tr w14:paraId="29B498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130" w:type="dxa"/>
            <w:tcBorders>
              <w:top w:val="nil"/>
              <w:left w:val="nil"/>
              <w:bottom w:val="nil"/>
              <w:right w:val="nil"/>
            </w:tcBorders>
            <w:shd w:val="clear" w:color="auto" w:fill="auto"/>
          </w:tcPr>
          <w:p w14:paraId="568BD86A">
            <w:pPr>
              <w:pStyle w:val="78"/>
              <w:framePr w:wrap="around"/>
            </w:pPr>
            <w:r>
              <mc:AlternateContent>
                <mc:Choice Requires="wps">
                  <w:drawing>
                    <wp:anchor distT="0" distB="0" distL="114300" distR="114300" simplePos="0" relativeHeight="251662336" behindDoc="1" locked="0" layoutInCell="1" allowOverlap="1">
                      <wp:simplePos x="0" y="0"/>
                      <wp:positionH relativeFrom="column">
                        <wp:posOffset>4665980</wp:posOffset>
                      </wp:positionH>
                      <wp:positionV relativeFrom="paragraph">
                        <wp:posOffset>34290</wp:posOffset>
                      </wp:positionV>
                      <wp:extent cx="1143000" cy="228600"/>
                      <wp:effectExtent l="0" t="0" r="0" b="0"/>
                      <wp:wrapNone/>
                      <wp:docPr id="3" name="DT"/>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DT" o:spid="_x0000_s1026" o:spt="1" style="position:absolute;left:0pt;margin-left:367.4pt;margin-top:2.7pt;height:18pt;width:90pt;z-index:-251654144;v-text-anchor:middle;mso-width-relative:page;mso-height-relative:page;" fillcolor="#FFFFFF" filled="t" stroked="f" coordsize="21600,21600" o:gfxdata="UEsDBAoAAAAAAIdO4kAAAAAAAAAAAAAAAAAEAAAAZHJzL1BLAwQUAAAACACHTuJAxZ7k/9MAAAAI&#10;AQAADwAAAGRycy9kb3ducmV2LnhtbE2PzU7DMBCE70i8g7VI3Kid1vyFbCqBhDjTVj078TaJGq8j&#10;223D2+Oe4Dia0cw31Xp2ozhTiINnhGKhQBC33g7cIey2nw8vIGIybM3omRB+KMK6vr2pTGn9hb/p&#10;vEmdyCUcS4PQpzSVUsa2J2fiwk/E2Tv44EzKMnTSBnPJ5W6US6WepDMD54XeTPTRU3vcnByCTF90&#10;3M7LPa+UNs17OOz2k0S8vyvUG4hEc/oLwxU/o0OdmRp/YhvFiPC80hk9ITxqENl/La66QdCFBllX&#10;8v+B+hdQSwMEFAAAAAgAh07iQDpLbVVRAgAAvAQAAA4AAABkcnMvZTJvRG9jLnhtbK1UTW8bIRC9&#10;V+p/QNybtR0nTa2sIyuWq0pRGympesYseFcChgL2Ov31fbCbj6Y95FAf8AwzfjPzeOPLq6M17KBC&#10;7MjVfHoy4Uw5SU3ndjX/fr/5cMFZTMI1wpBTNX9QkV8t37+77P1Czagl06jAAOLiovc1b1Pyi6qK&#10;slVWxBPyyiGoKViR4IZd1QTRA92aajaZnFc9hcYHkipG3K6HIB8Rw1sASetOqjXJvVUuDahBGZEw&#10;Umw7H/mydKu1kumb1lElZmqOSVM5UQT2Np/V8lIsdkH4tpNjC+ItLbyayYrOoegT1Fokwfah+wvK&#10;djJQJJ1OJNlqGKQwgimmk1fc3LXCqzILqI7+ifT4/2Dl18NtYF1T81POnLB48PV9ZqX3cYHgnb8N&#10;oxdh5hGPOtj8jebZsTD58MSkOiYmcTmdzk8nE5AsEZvNLs5hA6Z6/rUPMX1WZFk2ah7wUoVAcbiJ&#10;aUh9TMnFIpmu2XTGFCfsttcmsIPAq27KZ0T/I8041qP62bw0IqBVDY2gJ+sxb3Q7zoTZYQlkCqW2&#10;o1wBxcUi116L2A41CuxYwrgcV0VbY6uZq4GdbG2peQCngQaxRS83HdBuREy3IkBdoAX7l77h0IbQ&#10;Io0WZy2FX/+6z/l4dEQ566FWtP9zL4LizHxxkMOn6Xye5V2c+dnHGZzwMrJ9GXF7e02gbopN97KY&#10;OT+ZR1MHsj+wpqtcFSHhJGoPRI3OdRq2CIsu1WpV0iBpL9KNu/Myg2eeHK32iXRXnvSZHUghOxB1&#10;EcW4gHlrXvol6/lPZ/k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xZ7k/9MAAAAIAQAADwAAAAAA&#10;AAABACAAAAAiAAAAZHJzL2Rvd25yZXYueG1sUEsBAhQAFAAAAAgAh07iQDpLbVVRAgAAvAQAAA4A&#10;AAAAAAAAAQAgAAAAIgEAAGRycy9lMm9Eb2MueG1sUEsFBgAAAAAGAAYAWQEAAOUFAAAAAA==&#10;">
                      <v:fill on="t" focussize="0,0"/>
                      <v:stroke on="f" weight="2pt"/>
                      <v:imagedata o:title=""/>
                      <o:lock v:ext="edit" aspectratio="f"/>
                    </v:rect>
                  </w:pict>
                </mc:Fallback>
              </mc:AlternateContent>
            </w:r>
            <w:r>
              <w:fldChar w:fldCharType="begin">
                <w:ffData>
                  <w:name w:val="DT"/>
                  <w:enabled/>
                  <w:calcOnExit w:val="0"/>
                  <w:entryMacro w:val="ShowHelp4"/>
                  <w:textInput/>
                </w:ffData>
              </w:fldChar>
            </w:r>
            <w:bookmarkStart w:id="6" w:name="DT"/>
            <w:r>
              <w:instrText xml:space="preserve"> FORMTEXT </w:instrText>
            </w:r>
            <w:r>
              <w:fldChar w:fldCharType="separate"/>
            </w:r>
            <w:r>
              <w:t>     </w:t>
            </w:r>
            <w:r>
              <w:fldChar w:fldCharType="end"/>
            </w:r>
            <w:bookmarkEnd w:id="6"/>
          </w:p>
        </w:tc>
      </w:tr>
    </w:tbl>
    <w:p w14:paraId="4D6F7642">
      <w:pPr>
        <w:pStyle w:val="49"/>
        <w:framePr w:wrap="around"/>
        <w:rPr>
          <w:rFonts w:hint="eastAsia" w:hAnsi="黑体"/>
        </w:rPr>
      </w:pPr>
    </w:p>
    <w:p w14:paraId="70A38A5E">
      <w:pPr>
        <w:pStyle w:val="49"/>
        <w:framePr w:wrap="around"/>
        <w:rPr>
          <w:rFonts w:hint="eastAsia" w:hAnsi="黑体"/>
        </w:rPr>
      </w:pPr>
    </w:p>
    <w:p w14:paraId="25B52BD1">
      <w:pPr>
        <w:pStyle w:val="80"/>
        <w:framePr w:wrap="around"/>
        <w:rPr>
          <w:rFonts w:hint="default" w:eastAsia="黑体"/>
          <w:lang w:val="en-US" w:eastAsia="zh-CN"/>
        </w:rPr>
      </w:pPr>
      <w:r>
        <w:rPr>
          <w:rFonts w:hint="eastAsia"/>
          <w:lang w:val="en-US" w:eastAsia="zh-CN"/>
        </w:rPr>
        <w:t>基因测序与合成工艺技术要求</w:t>
      </w:r>
    </w:p>
    <w:p w14:paraId="7A7D77BD">
      <w:pPr>
        <w:pStyle w:val="80"/>
        <w:framePr w:wrap="around"/>
      </w:pPr>
      <w:bookmarkStart w:id="7" w:name="StdEnglishName"/>
      <w:r>
        <w:rPr>
          <w:rFonts w:hint="eastAsia" w:ascii="Times New Roman" w:hAnsi="Times New Roman" w:eastAsia="黑体" w:cs="Times New Roman"/>
          <w:sz w:val="28"/>
          <w:szCs w:val="28"/>
          <w:lang w:val="en-US" w:eastAsia="zh-CN" w:bidi="ar-SA"/>
        </w:rPr>
        <w:fldChar w:fldCharType="begin">
          <w:ffData>
            <w:name w:val="StdEnglishName"/>
            <w:enabled/>
            <w:calcOnExit w:val="0"/>
            <w:textInput>
              <w:default w:val="Technical requirements for gene sequencing and synthesis processes"/>
            </w:textInput>
          </w:ffData>
        </w:fldChar>
      </w:r>
      <w:r>
        <w:rPr>
          <w:rFonts w:hint="eastAsia" w:ascii="Times New Roman" w:hAnsi="Times New Roman" w:eastAsia="黑体" w:cs="Times New Roman"/>
          <w:sz w:val="28"/>
          <w:szCs w:val="28"/>
          <w:lang w:val="en-US" w:eastAsia="zh-CN" w:bidi="ar-SA"/>
        </w:rPr>
        <w:instrText xml:space="preserve">FORMTEXT</w:instrText>
      </w:r>
      <w:r>
        <w:rPr>
          <w:rFonts w:hint="eastAsia" w:ascii="Times New Roman" w:hAnsi="Times New Roman" w:eastAsia="黑体" w:cs="Times New Roman"/>
          <w:sz w:val="28"/>
          <w:szCs w:val="28"/>
          <w:lang w:val="en-US" w:eastAsia="zh-CN" w:bidi="ar-SA"/>
        </w:rPr>
        <w:fldChar w:fldCharType="separate"/>
      </w:r>
      <w:r>
        <w:rPr>
          <w:rFonts w:hint="eastAsia" w:ascii="Times New Roman" w:hAnsi="Times New Roman" w:eastAsia="黑体" w:cs="Times New Roman"/>
          <w:sz w:val="28"/>
          <w:szCs w:val="28"/>
          <w:lang w:val="en-US" w:eastAsia="zh-CN" w:bidi="ar-SA"/>
        </w:rPr>
        <w:t>Technical requirements for gene sequencing and synthesis processes</w:t>
      </w:r>
      <w:r>
        <w:rPr>
          <w:rFonts w:hint="eastAsia" w:ascii="Times New Roman" w:hAnsi="Times New Roman" w:eastAsia="黑体" w:cs="Times New Roman"/>
          <w:sz w:val="28"/>
          <w:szCs w:val="28"/>
          <w:lang w:val="en-US" w:eastAsia="zh-CN" w:bidi="ar-SA"/>
        </w:rPr>
        <w:fldChar w:fldCharType="end"/>
      </w:r>
      <w:bookmarkEnd w:id="7"/>
    </w:p>
    <w:p w14:paraId="0FF409E7">
      <w:pPr>
        <w:pStyle w:val="81"/>
        <w:framePr w:wrap="around"/>
        <w:rPr>
          <w:rFonts w:hint="eastAsia" w:ascii="宋体" w:hAnsi="宋体" w:eastAsia="宋体" w:cs="宋体"/>
          <w:lang w:val="en-US" w:eastAsia="zh-CN"/>
        </w:rPr>
      </w:pPr>
    </w:p>
    <w:p w14:paraId="0247659B">
      <w:pPr>
        <w:pStyle w:val="81"/>
        <w:framePr w:wrap="around"/>
        <w:rPr>
          <w:rFonts w:hint="default" w:ascii="宋体" w:hAnsi="宋体" w:eastAsia="宋体" w:cs="宋体"/>
          <w:lang w:val="en-US" w:eastAsia="zh-CN"/>
        </w:rPr>
      </w:pPr>
      <w:r>
        <w:rPr>
          <w:rFonts w:hint="eastAsia" w:ascii="宋体" w:hAnsi="宋体" w:eastAsia="宋体" w:cs="宋体"/>
          <w:lang w:val="en-US" w:eastAsia="zh-CN"/>
        </w:rPr>
        <w:t>征求意见稿</w:t>
      </w:r>
    </w:p>
    <w:p w14:paraId="6E8082B9">
      <w:pPr>
        <w:pStyle w:val="132"/>
        <w:framePr w:wrap="around"/>
      </w:pPr>
      <w:r>
        <w:rPr>
          <w:rFonts w:ascii="黑体"/>
        </w:rPr>
        <w:fldChar w:fldCharType="begin">
          <w:ffData>
            <w:name w:val="FY"/>
            <w:enabled/>
            <w:calcOnExit w:val="0"/>
            <w:entryMacro w:val="ShowHelp8"/>
            <w:textInput>
              <w:default w:val="××××"/>
              <w:maxLength w:val="4"/>
            </w:textInput>
          </w:ffData>
        </w:fldChar>
      </w:r>
      <w:bookmarkStart w:id="8" w:name="FY"/>
      <w:r>
        <w:rPr>
          <w:rFonts w:ascii="黑体"/>
        </w:rPr>
        <w:instrText xml:space="preserve"> FORMTEXT </w:instrText>
      </w:r>
      <w:r>
        <w:rPr>
          <w:rFonts w:ascii="黑体"/>
        </w:rPr>
        <w:fldChar w:fldCharType="separate"/>
      </w:r>
      <w:r>
        <w:rPr>
          <w:rFonts w:ascii="黑体"/>
        </w:rPr>
        <w:t>××××</w:t>
      </w:r>
      <w:r>
        <w:rPr>
          <w:rFonts w:ascii="黑体"/>
        </w:rPr>
        <w:fldChar w:fldCharType="end"/>
      </w:r>
      <w:bookmarkEnd w:id="8"/>
      <w:r>
        <w:t xml:space="preserve"> </w:t>
      </w:r>
      <w:r>
        <w:rPr>
          <w:rFonts w:ascii="黑体"/>
        </w:rPr>
        <w:t>-</w:t>
      </w:r>
      <w:r>
        <w:t xml:space="preserve"> </w:t>
      </w:r>
      <w:r>
        <w:rPr>
          <w:rFonts w:ascii="黑体"/>
        </w:rPr>
        <w:fldChar w:fldCharType="begin">
          <w:ffData>
            <w:name w:val="FM"/>
            <w:enabled/>
            <w:calcOnExit w:val="0"/>
            <w:entryMacro w:val="ShowHelp8"/>
            <w:textInput>
              <w:default w:val="××"/>
              <w:maxLength w:val="2"/>
            </w:textInput>
          </w:ffData>
        </w:fldChar>
      </w:r>
      <w:r>
        <w:rPr>
          <w:rFonts w:ascii="黑体"/>
        </w:rPr>
        <w:instrText xml:space="preserve"> FORMTEXT </w:instrText>
      </w:r>
      <w:r>
        <w:rPr>
          <w:rFonts w:ascii="黑体"/>
        </w:rPr>
        <w:fldChar w:fldCharType="separate"/>
      </w:r>
      <w:r>
        <w:rPr>
          <w:rFonts w:ascii="黑体"/>
        </w:rPr>
        <w:t>××</w:t>
      </w:r>
      <w:r>
        <w:rPr>
          <w:rFonts w:ascii="黑体"/>
        </w:rPr>
        <w:fldChar w:fldCharType="end"/>
      </w:r>
      <w:r>
        <w:t xml:space="preserve"> </w:t>
      </w:r>
      <w:r>
        <w:rPr>
          <w:rFonts w:ascii="黑体"/>
        </w:rPr>
        <w:t>-</w:t>
      </w:r>
      <w:r>
        <w:t xml:space="preserve"> </w:t>
      </w:r>
      <w:r>
        <w:rPr>
          <w:rFonts w:ascii="黑体"/>
        </w:rPr>
        <w:fldChar w:fldCharType="begin">
          <w:ffData>
            <w:name w:val="FD"/>
            <w:enabled/>
            <w:calcOnExit w:val="0"/>
            <w:entryMacro w:val="ShowHelp8"/>
            <w:textInput>
              <w:default w:val="××"/>
              <w:maxLength w:val="2"/>
            </w:textInput>
          </w:ffData>
        </w:fldChar>
      </w:r>
      <w:bookmarkStart w:id="9" w:name="FD"/>
      <w:r>
        <w:rPr>
          <w:rFonts w:ascii="黑体"/>
        </w:rPr>
        <w:instrText xml:space="preserve"> FORMTEXT </w:instrText>
      </w:r>
      <w:r>
        <w:rPr>
          <w:rFonts w:ascii="黑体"/>
        </w:rPr>
        <w:fldChar w:fldCharType="separate"/>
      </w:r>
      <w:r>
        <w:rPr>
          <w:rFonts w:ascii="黑体"/>
        </w:rPr>
        <w:t>××</w:t>
      </w:r>
      <w:r>
        <w:rPr>
          <w:rFonts w:ascii="黑体"/>
        </w:rPr>
        <w:fldChar w:fldCharType="end"/>
      </w:r>
      <w:bookmarkEnd w:id="9"/>
      <w:r>
        <w:rPr>
          <w:rFonts w:hint="eastAsia"/>
        </w:rPr>
        <w:t>发布</w:t>
      </w:r>
      <w:r>
        <w:rPr>
          <w:rFonts w:hint="eastAsia"/>
        </w:rPr>
        <mc:AlternateContent>
          <mc:Choice Requires="wps">
            <w:drawing>
              <wp:anchor distT="0" distB="0" distL="114300" distR="114300" simplePos="0" relativeHeight="251660288" behindDoc="0" locked="1" layoutInCell="1" allowOverlap="1">
                <wp:simplePos x="0" y="0"/>
                <wp:positionH relativeFrom="column">
                  <wp:posOffset>0</wp:posOffset>
                </wp:positionH>
                <wp:positionV relativeFrom="page">
                  <wp:posOffset>9251950</wp:posOffset>
                </wp:positionV>
                <wp:extent cx="6119495" cy="0"/>
                <wp:effectExtent l="0" t="0" r="33655" b="19050"/>
                <wp:wrapNone/>
                <wp:docPr id="1" name="直接连接符 1"/>
                <wp:cNvGraphicFramePr/>
                <a:graphic xmlns:a="http://schemas.openxmlformats.org/drawingml/2006/main">
                  <a:graphicData uri="http://schemas.microsoft.com/office/word/2010/wordprocessingShape">
                    <wps:wsp>
                      <wps:cNvCnPr/>
                      <wps:spPr>
                        <a:xfrm>
                          <a:off x="0" y="0"/>
                          <a:ext cx="611949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728.5pt;height:0pt;width:481.85pt;mso-position-vertical-relative:page;z-index:251660288;mso-width-relative:page;mso-height-relative:page;" filled="f" stroked="t" coordsize="21600,21600" o:gfxdata="UEsDBAoAAAAAAIdO4kAAAAAAAAAAAAAAAAAEAAAAZHJzL1BLAwQUAAAACACHTuJAJVG+0tgAAAAK&#10;AQAADwAAAGRycy9kb3ducmV2LnhtbE2PT0/CQBDF7yZ8h82QeJMtKBRrtySSQLyYIBjOS3fsVrqz&#10;TXf5Yz+948Hobea9yZvfyxdX14gzdqH2pGA8SkAgld7UVCl4363u5iBC1GR04wkVfGGARTG4yXVm&#10;/IXe8LyNleAQCplWYGNsMylDadHpMPItEnsfvnM68tpV0nT6wuGukZMkmUmna+IPVre4tFgetyen&#10;oDfz5ebFrvvX533aT6uwW633n0rdDsfJE4iI1/h3DD/4jA4FMx38iUwQjQIuEll9mKY8sf84u09B&#10;HH4lWeTyf4XiG1BLAwQUAAAACACHTuJAXc9HRvUBAADTAwAADgAAAGRycy9lMm9Eb2MueG1srVNL&#10;btswFNwXyB0I7mNJRpzWguUgiZNu+jHQ9gA0RUkE+AMfY9mX6AUKdNeuuuy+t2l6jD5SstOmmyy6&#10;ocj3Gb4ZjhYXO63IVniQ1lS0mOSUCMNtLU1b0Q/vb09fUAKBmZopa0RF9wLoxfLk2aJ3pZjazqpa&#10;eIIgBsreVbQLwZVZBrwTmsHEOmEw2VivWcCjb7Pasx7RtcqmeX6e9dbXzlsuADC6GpJ0RPRPAbRN&#10;I7lYWX6nhQkDqheKBaQEnXRAl2naphE8vG0aEIGoiiLTkFa8BPebuGbLBStbz1wn+TgCe8oIjzhp&#10;Jg1eeoRascDInZf/QGnJvQXbhAm3OhuIJEWQRZE/0uZdx5xIXFBqcEfR4f/B8jfbtSeyRidQYpjG&#10;B7//9P3nxy+/fnzG9f7bV1JEkXoHJdZem7UfT+DWPjLeNV7HL3IhuyTs/iis2AXCMXheFPOz+YwS&#10;fshlD43OQ3gprCZxU1ElTeTMSrZ9BQEvw9JDSQwbeyuVSu+mDOkrOp9NIzJDLzboAdxqh3zAtJQw&#10;1aLJefAJEaySdeyOOODbzbXyZMvQGmeXz2+uroaijtViiM5neT5aBFh4beshXOSHOI42wqQx/8KP&#10;M68YdENPSkUhsUUZ/ERBBwnjbmPrfVI2xfGtU+Hoy2imP8+p++FfXP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VG+0tgAAAAKAQAADwAAAAAAAAABACAAAAAiAAAAZHJzL2Rvd25yZXYueG1sUEsB&#10;AhQAFAAAAAgAh07iQF3PR0b1AQAA0wMAAA4AAAAAAAAAAQAgAAAAJwEAAGRycy9lMm9Eb2MueG1s&#10;UEsFBgAAAAAGAAYAWQEAAI4FAAAAAA==&#10;">
                <v:fill on="f" focussize="0,0"/>
                <v:stroke color="#4A7EBB [3204]" joinstyle="round"/>
                <v:imagedata o:title=""/>
                <o:lock v:ext="edit" aspectratio="f"/>
                <w10:anchorlock/>
              </v:line>
            </w:pict>
          </mc:Fallback>
        </mc:AlternateContent>
      </w:r>
    </w:p>
    <w:p w14:paraId="2FDD3CE2">
      <w:pPr>
        <w:pStyle w:val="133"/>
        <w:framePr w:wrap="around"/>
      </w:pPr>
      <w:r>
        <w:rPr>
          <w:rFonts w:ascii="黑体"/>
        </w:rPr>
        <w:fldChar w:fldCharType="begin">
          <w:ffData>
            <w:name w:val="SY"/>
            <w:enabled/>
            <w:calcOnExit w:val="0"/>
            <w:entryMacro w:val="ShowHelp9"/>
            <w:textInput>
              <w:default w:val="××××"/>
              <w:maxLength w:val="4"/>
            </w:textInput>
          </w:ffData>
        </w:fldChar>
      </w:r>
      <w:bookmarkStart w:id="10" w:name="SY"/>
      <w:r>
        <w:rPr>
          <w:rFonts w:ascii="黑体"/>
        </w:rPr>
        <w:instrText xml:space="preserve"> FORMTEXT </w:instrText>
      </w:r>
      <w:r>
        <w:rPr>
          <w:rFonts w:ascii="黑体"/>
        </w:rPr>
        <w:fldChar w:fldCharType="separate"/>
      </w:r>
      <w:r>
        <w:rPr>
          <w:rFonts w:ascii="黑体"/>
        </w:rPr>
        <w:t>××××</w:t>
      </w:r>
      <w:r>
        <w:rPr>
          <w:rFonts w:ascii="黑体"/>
        </w:rPr>
        <w:fldChar w:fldCharType="end"/>
      </w:r>
      <w:bookmarkEnd w:id="10"/>
      <w:r>
        <w:t xml:space="preserve"> </w:t>
      </w:r>
      <w:r>
        <w:rPr>
          <w:rFonts w:ascii="黑体"/>
        </w:rPr>
        <w:t>-</w:t>
      </w:r>
      <w:r>
        <w:t xml:space="preserve"> </w:t>
      </w:r>
      <w:r>
        <w:rPr>
          <w:rFonts w:ascii="黑体"/>
        </w:rPr>
        <w:fldChar w:fldCharType="begin">
          <w:ffData>
            <w:name w:val="SM"/>
            <w:enabled/>
            <w:calcOnExit w:val="0"/>
            <w:entryMacro w:val="ShowHelp9"/>
            <w:textInput>
              <w:default w:val="××"/>
              <w:maxLength w:val="2"/>
            </w:textInput>
          </w:ffData>
        </w:fldChar>
      </w:r>
      <w:bookmarkStart w:id="11" w:name="SM"/>
      <w:r>
        <w:rPr>
          <w:rFonts w:ascii="黑体"/>
        </w:rPr>
        <w:instrText xml:space="preserve"> FORMTEXT </w:instrText>
      </w:r>
      <w:r>
        <w:rPr>
          <w:rFonts w:ascii="黑体"/>
        </w:rPr>
        <w:fldChar w:fldCharType="separate"/>
      </w:r>
      <w:r>
        <w:rPr>
          <w:rFonts w:ascii="黑体"/>
        </w:rPr>
        <w:t>××</w:t>
      </w:r>
      <w:r>
        <w:rPr>
          <w:rFonts w:ascii="黑体"/>
        </w:rPr>
        <w:fldChar w:fldCharType="end"/>
      </w:r>
      <w:bookmarkEnd w:id="11"/>
      <w:r>
        <w:t xml:space="preserve"> </w:t>
      </w:r>
      <w:r>
        <w:rPr>
          <w:rFonts w:ascii="黑体"/>
        </w:rPr>
        <w:t>-</w:t>
      </w:r>
      <w:r>
        <w:t xml:space="preserve"> </w:t>
      </w:r>
      <w:r>
        <w:rPr>
          <w:rFonts w:ascii="黑体"/>
        </w:rPr>
        <w:fldChar w:fldCharType="begin">
          <w:ffData>
            <w:name w:val="SD"/>
            <w:enabled/>
            <w:calcOnExit w:val="0"/>
            <w:entryMacro w:val="ShowHelp9"/>
            <w:textInput>
              <w:default w:val="××"/>
              <w:maxLength w:val="2"/>
            </w:textInput>
          </w:ffData>
        </w:fldChar>
      </w:r>
      <w:bookmarkStart w:id="12" w:name="SD"/>
      <w:r>
        <w:rPr>
          <w:rFonts w:ascii="黑体"/>
        </w:rPr>
        <w:instrText xml:space="preserve"> FORMTEXT </w:instrText>
      </w:r>
      <w:r>
        <w:rPr>
          <w:rFonts w:ascii="黑体"/>
        </w:rPr>
        <w:fldChar w:fldCharType="separate"/>
      </w:r>
      <w:r>
        <w:rPr>
          <w:rFonts w:ascii="黑体"/>
        </w:rPr>
        <w:t>××</w:t>
      </w:r>
      <w:r>
        <w:rPr>
          <w:rFonts w:ascii="黑体"/>
        </w:rPr>
        <w:fldChar w:fldCharType="end"/>
      </w:r>
      <w:bookmarkEnd w:id="12"/>
      <w:r>
        <w:rPr>
          <w:rFonts w:hint="eastAsia"/>
        </w:rPr>
        <w:t>实施</w:t>
      </w:r>
    </w:p>
    <w:p w14:paraId="0476968C">
      <w:pPr>
        <w:pStyle w:val="113"/>
        <w:framePr w:wrap="around"/>
      </w:pPr>
      <w:r>
        <w:fldChar w:fldCharType="begin">
          <w:ffData>
            <w:name w:val="fm"/>
            <w:enabled/>
            <w:calcOnExit w:val="0"/>
            <w:textInput/>
          </w:ffData>
        </w:fldChar>
      </w:r>
      <w:bookmarkStart w:id="13" w:name="fm"/>
      <w:r>
        <w:instrText xml:space="preserve"> FORMTEXT </w:instrText>
      </w:r>
      <w:r>
        <w:fldChar w:fldCharType="separate"/>
      </w:r>
      <w:r>
        <w:rPr>
          <w:rFonts w:hint="eastAsia"/>
        </w:rPr>
        <w:t>山东科技咨询协会</w:t>
      </w:r>
      <w:r>
        <w:fldChar w:fldCharType="end"/>
      </w:r>
      <w:bookmarkEnd w:id="13"/>
      <w:r>
        <w:t xml:space="preserve"> </w:t>
      </w:r>
      <w:r>
        <w:rPr>
          <w:rStyle w:val="75"/>
        </w:rPr>
        <w:t xml:space="preserve"> </w:t>
      </w:r>
      <w:r>
        <w:rPr>
          <w:rStyle w:val="75"/>
          <w:rFonts w:hint="eastAsia"/>
        </w:rPr>
        <w:t>发布</w:t>
      </w:r>
    </w:p>
    <w:p w14:paraId="083AB8A5">
      <w:pPr>
        <w:pStyle w:val="23"/>
        <w:sectPr>
          <w:pgSz w:w="11906" w:h="16838"/>
          <w:pgMar w:top="567" w:right="850" w:bottom="1134" w:left="1418" w:header="0" w:footer="0" w:gutter="0"/>
          <w:pgNumType w:start="1"/>
          <w:cols w:space="425" w:num="1"/>
          <w:docGrid w:type="lines" w:linePitch="312" w:charSpace="0"/>
        </w:sectPr>
      </w:pPr>
      <w:r>
        <w:rPr>
          <w:rFonts w:hint="eastAsia"/>
        </w:rPr>
        <mc:AlternateContent>
          <mc:Choice Requires="wps">
            <w:drawing>
              <wp:anchor distT="0" distB="0" distL="114300" distR="114300" simplePos="0" relativeHeight="251665408" behindDoc="0" locked="0" layoutInCell="1" allowOverlap="1">
                <wp:simplePos x="0" y="0"/>
                <wp:positionH relativeFrom="column">
                  <wp:posOffset>140335</wp:posOffset>
                </wp:positionH>
                <wp:positionV relativeFrom="paragraph">
                  <wp:posOffset>2353945</wp:posOffset>
                </wp:positionV>
                <wp:extent cx="0" cy="0"/>
                <wp:effectExtent l="0" t="0" r="0" b="0"/>
                <wp:wrapNone/>
                <wp:docPr id="31" name="直接连接符 31"/>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1.05pt;margin-top:185.35pt;height:0pt;width:0pt;z-index:251665408;mso-width-relative:page;mso-height-relative:page;" filled="f" stroked="t" coordsize="21600,21600" o:gfxdata="UEsDBAoAAAAAAIdO4kAAAAAAAAAAAAAAAAAEAAAAZHJzL1BLAwQUAAAACACHTuJAx5qUZ9cAAAAJ&#10;AQAADwAAAGRycy9kb3ducmV2LnhtbE2Py2rDMBBF94X+g5hAd41kl9bBtRxoIKGbQpuUrBVrYjmx&#10;RsZSHvXXVy2BZDl3DnfOFNOzbdkRe984kpCMBTCkyumGagnfq/njBJgPirRqHaGEH/QwLe/vCpVr&#10;d6IvPC5DzWIJ+VxJMCF0Oee+MmiVH7sOKe62rrcqxLGvue7VKZbblqdCvHCrGooXjOpwZrDaLw9W&#10;wqAns893sxg+3tbZ8Fz71Xyx3kn5MErEK7CA53CF4U8/qkMZnTbuQNqzVkKaJpGU8JSJDFgE/oPN&#10;JeBlwW8/KH8BUEsDBBQAAAAIAIdO4kCMH3LY8AEAAM8DAAAOAAAAZHJzL2Uyb0RvYy54bWytU0uO&#10;EzEQ3SNxB8t70p1AgGmlM2ImDBs+kYADVNzutCX/5PKkM5fgAkjsmBVL9tyG4RiU3Z0MDJtZsHGX&#10;6/Nc71X14nRvNNvJgMrZmk8nJWfSCtcou635xw8Xj55zhhFsA9pZWfMrifx0+fDBoveVnLnO6UYG&#10;RiAWq97XvIvRV0WBopMGcOK8tBRsXTAQ6Rq2RROgJ3Sji1lZPi16FxofnJCI5F0NQT4ihvsAurZV&#10;Qq6cuDTSxgE1SA2RKGGnPPJl7rZtpYjv2hZlZLrmxDTmkx4he5POYrmAahvAd0qMLcB9WrjDyYCy&#10;9OgRagUR2GVQ/0AZJYJD18aJcKYYiGRFiMW0vKPN+w68zFxIavRH0fH/wYq3u3Vgqqn54ylnFgxN&#10;/Obz95+fvv768YXOm2/XjCIkU++xouxzuw7jDf06JM77Npj0JTZsn6W9Okor95GJwSkO3uK2xAeM&#10;r6QzLBk118omvlDB7jVGeoZSDynJbd2F0jrPTFvW1/xkPptzJoD2sKX5k2k8cUG75Qz0lhZcxJAR&#10;0WnVpOqEg2G7OdeB7YDW4smLZy/PzoakDho5eE/mZTmuB0J845rBPS0PfmpthMlt/oWfel4BdkNN&#10;DiUJqURb+iQpB/GStXHNVdY0+2nOOXHcybRIf95z9e1/uP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5qUZ9cAAAAJAQAADwAAAAAAAAABACAAAAAiAAAAZHJzL2Rvd25yZXYueG1sUEsBAhQAFAAA&#10;AAgAh07iQIwfctjwAQAAzwMAAA4AAAAAAAAAAQAgAAAAJgEAAGRycy9lMm9Eb2MueG1sUEsFBgAA&#10;AAAGAAYAWQEAAIgFAAAAAA==&#10;">
                <v:fill on="f" focussize="0,0"/>
                <v:stroke color="#4A7EBB [3204]" joinstyle="round"/>
                <v:imagedata o:title=""/>
                <o:lock v:ext="edit" aspectratio="f"/>
              </v:line>
            </w:pict>
          </mc:Fallback>
        </mc:AlternateContent>
      </w:r>
      <w:r>
        <w:rPr>
          <w:rFonts w:hint="eastAsia"/>
        </w:rPr>
        <mc:AlternateContent>
          <mc:Choice Requires="wps">
            <w:drawing>
              <wp:anchor distT="0" distB="0" distL="114300" distR="114300" simplePos="0" relativeHeight="251664384" behindDoc="0" locked="0" layoutInCell="1" allowOverlap="1">
                <wp:simplePos x="0" y="0"/>
                <wp:positionH relativeFrom="column">
                  <wp:posOffset>13335</wp:posOffset>
                </wp:positionH>
                <wp:positionV relativeFrom="paragraph">
                  <wp:posOffset>8890635</wp:posOffset>
                </wp:positionV>
                <wp:extent cx="6137910" cy="0"/>
                <wp:effectExtent l="0" t="0" r="34290" b="19050"/>
                <wp:wrapNone/>
                <wp:docPr id="30" name="直接连接符 30"/>
                <wp:cNvGraphicFramePr/>
                <a:graphic xmlns:a="http://schemas.openxmlformats.org/drawingml/2006/main">
                  <a:graphicData uri="http://schemas.microsoft.com/office/word/2010/wordprocessingShape">
                    <wps:wsp>
                      <wps:cNvCnPr/>
                      <wps:spPr>
                        <a:xfrm>
                          <a:off x="0" y="0"/>
                          <a:ext cx="613815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05pt;margin-top:700.05pt;height:0pt;width:483.3pt;z-index:251664384;mso-width-relative:page;mso-height-relative:page;" filled="f" stroked="t" coordsize="21600,21600" o:gfxdata="UEsDBAoAAAAAAIdO4kAAAAAAAAAAAAAAAAAEAAAAZHJzL1BLAwQUAAAACACHTuJALnWIGNUAAAAL&#10;AQAADwAAAGRycy9kb3ducmV2LnhtbE2PT0/DMAzF70h8h8hIXCaWtKAxStMdgN64MEBcvca0FY3T&#10;Ndkf+PSYA4Kb/d7T88/l6ugHtacp9oEtZHMDirgJrufWwstzfbEEFROywyEwWfikCKvq9KTEwoUD&#10;P9F+nVolJRwLtNClNBZax6Yjj3EeRmLx3sPkMck6tdpNeJByP+jcmIX22LNc6HCku46aj/XOW4j1&#10;K23rr1kzM2+XbaB8e//4gNaen2XmFlSiY/oLww++oEMlTJuwYxfVYCHPJCjylTEySeBmsbwGtfmV&#10;dFXq/z9U31BLAwQUAAAACACHTuJAYljOK9kBAACcAwAADgAAAGRycy9lMm9Eb2MueG1srVNLjhMx&#10;EN0jcQfLe9L5KKOhlc4sJho2CCIBB3Dcdrcl/1TlSSeX4AJI7GDFkj23YTgGZXcmA8NmFmThlKue&#10;X/k9V6+uDs6yvQI0wTd8NplyprwMrfFdwz+8v3lxyRkm4Vthg1cNPyrkV+vnz1ZDrNU89MG2ChiR&#10;eKyH2PA+pVhXFcpeOYGTEJWnog7gRKItdFULYiB2Z6v5dHpRDQHaCEEqRMpuxiI/McJTCIPWRqpN&#10;kLdO+TSygrIikSTsTUS+LrfVWsn0VmtUidmGk9JUVmpC8S6v1Xol6g5E7I08XUE85QqPNDlhPDU9&#10;U21EEuwWzD9UzkgIGHSayOCqUUhxhFTMpo+8edeLqIoWshrj2XT8f7TyzX4LzLQNX5AlXjh68btP&#10;339+/PLrx2da7759ZVQhm4aINaGv/RZOO4xbyJoPGlz+JzXsUKw9nq1Vh8QkJS9mi8vZcsGZvK9V&#10;DwcjYHqlgmM5aLg1PqsWtdi/xkTNCHoPyWkfboy15eWsZ0PDXy7nS2IWNI2apoBCF0kR+o4zYTsa&#10;c5mgMGKwps2nMw9Ct7u2wPYiD0f5ZaHU7S9Ybr0R2I+4UjrBrCd09mV0Ike70B6LQSVPj1b4TgOW&#10;p+LPfTn98FGtf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udYgY1QAAAAsBAAAPAAAAAAAAAAEA&#10;IAAAACIAAABkcnMvZG93bnJldi54bWxQSwECFAAUAAAACACHTuJAYljOK9kBAACcAwAADgAAAAAA&#10;AAABACAAAAAkAQAAZHJzL2Uyb0RvYy54bWxQSwUGAAAAAAYABgBZAQAAbwUAAAAA&#10;">
                <v:fill on="f" focussize="0,0"/>
                <v:stroke color="#000000 [3213]" joinstyle="round"/>
                <v:imagedata o:title=""/>
                <o:lock v:ext="edit" aspectratio="f"/>
              </v:line>
            </w:pict>
          </mc:Fallback>
        </mc:AlternateContent>
      </w:r>
      <w:r>
        <w:rPr>
          <w:rFonts w:hint="eastAsia"/>
        </w:rPr>
        <mc:AlternateContent>
          <mc:Choice Requires="wps">
            <w:drawing>
              <wp:anchor distT="0" distB="0" distL="114300" distR="114300" simplePos="0" relativeHeight="251663360" behindDoc="1" locked="0" layoutInCell="1" allowOverlap="1">
                <wp:simplePos x="0" y="0"/>
                <wp:positionH relativeFrom="column">
                  <wp:posOffset>-66675</wp:posOffset>
                </wp:positionH>
                <wp:positionV relativeFrom="paragraph">
                  <wp:posOffset>396240</wp:posOffset>
                </wp:positionV>
                <wp:extent cx="866775" cy="198120"/>
                <wp:effectExtent l="0" t="0" r="9525" b="0"/>
                <wp:wrapNone/>
                <wp:docPr id="6" name="BAH"/>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BAH" o:spid="_x0000_s1026" o:spt="1" style="position:absolute;left:0pt;margin-left:-5.25pt;margin-top:31.2pt;height:15.6pt;width:68.25pt;z-index:-251653120;v-text-anchor:middle;mso-width-relative:page;mso-height-relative:page;" fillcolor="#FFFFFF" filled="t" stroked="f" coordsize="21600,21600" o:gfxdata="UEsDBAoAAAAAAIdO4kAAAAAAAAAAAAAAAAAEAAAAZHJzL1BLAwQUAAAACACHTuJAtabbHNUAAAAJ&#10;AQAADwAAAGRycy9kb3ducmV2LnhtbE2PwU7DMBBE70j8g7VI3Fo7aYlKyKYSSIgzbdWzE2+TqPE6&#10;st02/D3uCY6rfZp5U21nO4or+TA4RsiWCgRx68zAHcJh/7nYgAhRs9GjY0L4oQDb+vGh0qVxN/6m&#10;6y52IoVwKDVCH+NUShnanqwOSzcRp9/JeatjOn0njde3FG5HmStVSKsHTg29nuijp/a8u1gEGb/o&#10;vJ/zI6/UWjfv/nQ4ThLx+SlTbyAizfEPhrt+Uoc6OTXuwiaIEWGRqZeEIhT5GsQdyIs0rkF4XRUg&#10;60r+X1D/AlBLAwQUAAAACACHTuJAdQs/B1YCAAC8BAAADgAAAGRycy9lMm9Eb2MueG1srVTBbtsw&#10;DL0P2D8Iuq9OgjRtgzpFliDbgGIt0A07K7IUC5BEjVLidF8/Snabrtuhh/kgkyL9SD6Svr45OssO&#10;CqMBX/Px2Ygz5SU0xu9q/v3b5sMlZzEJ3wgLXtX8UUV+s3j/7roLczWBFmyjkBGIj/Mu1LxNKcyr&#10;KspWORHPIChPRg3oRCIVd1WDoiN0Z6vJaDSrOsAmIEgVI92ueyMfEPEtgKC1kWoNcu+UTz0qKisS&#10;lRRbEyJflGy1VjLdaR1VYrbmVGkqJwUheZvPanEt5jsUoTVySEG8JYVXNTlhPAV9hlqLJNgezV9Q&#10;zkiECDqdSXBVX0hhhKoYj15x89CKoEotRHUMz6TH/wcrvx7ukZmm5jPOvHDU8I/Lz5mWLsQ5WR/C&#10;PQ5aJDHXeNTo8puyZ8dC5eMzleqYmKTLy9ns4uKcM0mm8dXleFKork4fB4zpkwLHslBzpE4VAsXh&#10;NiYKSK5PLjlWBGuajbG2KLjbriyyg6CubsqTM6ZP/nCznnU1n5xPR9RtKWhWNc0IiS5QvdHvOBN2&#10;R0sgE5bYHnIEQupjr0Vs+xgFdghhfbarMltDqpmqnpwsbaF5JE4R+mGLQW4M1XgrYroXSNNF2dD+&#10;pTs6tAVKEQaJsxbw17/usz81naycdTStlP7PvUDFmf3iaRyuxtNpHu+iTM8viG6GLy3blxa/dysg&#10;6sa06UEWMfsn+yRqBPeD1nSZo5JJeEmxe6IGZZX6LaJFl2q5LG400kGkW/8QZAbPPHlY7hNoU1p6&#10;YoealRUa6tK2YQHz1rzUi9fpp7P4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Wm2xzVAAAACQEA&#10;AA8AAAAAAAAAAQAgAAAAIgAAAGRycy9kb3ducmV2LnhtbFBLAQIUABQAAAAIAIdO4kB1Cz8HVgIA&#10;ALwEAAAOAAAAAAAAAAEAIAAAACQBAABkcnMvZTJvRG9jLnhtbFBLBQYAAAAABgAGAFkBAADsBQAA&#10;AAA=&#10;">
                <v:fill on="t" focussize="0,0"/>
                <v:stroke on="f" weight="2pt"/>
                <v:imagedata o:title=""/>
                <o:lock v:ext="edit" aspectratio="f"/>
              </v:rect>
            </w:pict>
          </mc:Fallback>
        </mc:AlternateContent>
      </w:r>
      <w:r>
        <w:rPr>
          <w:rFonts w:hint="eastAsia"/>
          <w:color w:val="000000" w:themeColor="text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2339340</wp:posOffset>
                </wp:positionV>
                <wp:extent cx="6120130" cy="0"/>
                <wp:effectExtent l="0" t="0" r="33655" b="19050"/>
                <wp:wrapNone/>
                <wp:docPr id="2" name="直接连接符 2"/>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184.2pt;height:0pt;width:481.9pt;z-index:251661312;mso-width-relative:page;mso-height-relative:page;" filled="f" stroked="t" coordsize="21600,21600" o:gfxdata="UEsDBAoAAAAAAIdO4kAAAAAAAAAAAAAAAAAEAAAAZHJzL1BLAwQUAAAACACHTuJAjd8ps9UAAAAI&#10;AQAADwAAAGRycy9kb3ducmV2LnhtbE2PTU/DMAyG70j8h8hIXCaWbEXVKE13AHrjwgBx9RrTVjRO&#10;12Qf8OsxEhIc7dd6/Tzl+uQHdaAp9oEtLOYGFHETXM+thZfn+moFKiZkh0NgsvBJEdbV+VmJhQtH&#10;fqLDJrVKSjgWaKFLaSy0jk1HHuM8jMSSvYfJY5JxarWb8CjlftBLY3LtsWf50OFIdx01H5u9txDr&#10;V9rVX7NmZt6yNtByd//4gNZeXizMLahEp/R3DD/4gg6VMG3Dnl1UgwURSRayfHUNSuKbPBOT7e9G&#10;V6X+L1B9A1BLAwQUAAAACACHTuJAcSXJutcBAACaAwAADgAAAGRycy9lMm9Eb2MueG1srVPNbtQw&#10;EL4j8Q6W72yykVpBtNkeuioXBCsBD+B1nMSS/zTjbnZfghdA4gYnjtx5G8pjdOykW2gvPTQHZzwz&#10;/sbfN+PVxcEatleA2ruGLxclZ8pJ32rXN/zzp6tXrznDKFwrjHeq4UeF/GL98sVqDLWq/OBNq4AR&#10;iMN6DA0fYgx1UaAclBW48EE5CnYerIi0hb5oQYyEbk1RleV5MXpoA3ipEMm7mYJ8RoSnAPqu01Jt&#10;vLy2ysUJFZQRkSjhoAPydb5t1ykZP3QdqshMw4lpzCsVIXuX1mK9EnUPIgxazlcQT7nCA05WaEdF&#10;T1AbEQW7Bv0IymoJHn0XF9LbYiKSFSEWy/KBNh8HEVTmQlJjOImOzwcr3++3wHTb8IozJyw1/Obr&#10;rz9fvv/9/Y3Wm58/WJVEGgPWlHvptjDvMGwhMT50YNOfuLBDFvZ4ElYdIpPkPF9S50vSXN7FivuD&#10;ATC+Vd6yZDTcaJc4i1rs32GkYpR6l5Lczl9pY3LfjGNjw9+cVWeELGgWO5oBMm0gPuh6zoTpachl&#10;hIyI3ug2nU44CP3u0gDbizQa+UtEqdp/aan0RuAw5eXQnGYcZSddJiWStfPtMQuU/dSyjDePV5qJ&#10;f/f59P2TWt8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d8ps9UAAAAIAQAADwAAAAAAAAABACAA&#10;AAAiAAAAZHJzL2Rvd25yZXYueG1sUEsBAhQAFAAAAAgAh07iQHElybrXAQAAmgMAAA4AAAAAAAAA&#10;AQAgAAAAJAEAAGRycy9lMm9Eb2MueG1sUEsFBgAAAAAGAAYAWQEAAG0FAAAAAA==&#10;">
                <v:fill on="f" focussize="0,0"/>
                <v:stroke color="#000000 [3213]" joinstyle="round"/>
                <v:imagedata o:title=""/>
                <o:lock v:ext="edit" aspectratio="f"/>
              </v:line>
            </w:pict>
          </mc:Fallback>
        </mc:AlternateContent>
      </w:r>
    </w:p>
    <w:p w14:paraId="306D0217">
      <w:pPr>
        <w:pStyle w:val="2"/>
        <w:jc w:val="center"/>
        <w:outlineLvl w:val="0"/>
        <w:rPr>
          <w:b/>
          <w:bCs/>
          <w:color w:val="000000" w:themeColor="text1"/>
          <w:sz w:val="32"/>
          <w:szCs w:val="32"/>
          <w14:textFill>
            <w14:solidFill>
              <w14:schemeClr w14:val="tx1"/>
            </w14:solidFill>
          </w14:textFill>
        </w:rPr>
      </w:pPr>
    </w:p>
    <w:p w14:paraId="50C866FC">
      <w:pPr>
        <w:pStyle w:val="2"/>
        <w:jc w:val="center"/>
        <w:outlineLvl w:val="0"/>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目  次</w:t>
      </w:r>
    </w:p>
    <w:p w14:paraId="541D0C3F">
      <w:pPr>
        <w:pStyle w:val="2"/>
        <w:tabs>
          <w:tab w:val="right" w:leader="middleDot" w:pos="7980"/>
        </w:tabs>
        <w:rPr>
          <w:rFonts w:ascii="宋体"/>
          <w:color w:val="auto"/>
          <w:kern w:val="2"/>
          <w:szCs w:val="21"/>
        </w:rPr>
      </w:pPr>
    </w:p>
    <w:p w14:paraId="73084889">
      <w:pPr>
        <w:pStyle w:val="2"/>
        <w:outlineLvl w:val="0"/>
      </w:pPr>
      <w:r>
        <w:fldChar w:fldCharType="begin" w:fldLock="1"/>
      </w:r>
      <w:r>
        <w:instrText xml:space="preserve"> </w:instrText>
      </w:r>
      <w:r>
        <w:rPr>
          <w:rFonts w:hint="eastAsia"/>
        </w:rPr>
        <w:instrText xml:space="preserve">TOC \h \z \t"前言、引言标题,1,参考文献、索引标题,1,章标题,1,参考文献,1,附录标识,1,一级条标题, 3" \* MERGEFORMAT</w:instrText>
      </w:r>
      <w:r>
        <w:instrText xml:space="preserve"> </w:instrText>
      </w:r>
      <w:r>
        <w:fldChar w:fldCharType="separate"/>
      </w:r>
    </w:p>
    <w:p w14:paraId="60369BCA">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"_Toc160821105" </w:instrText>
      </w:r>
      <w:r>
        <w:rPr>
          <w:rFonts w:hint="eastAsia" w:ascii="宋体" w:hAnsi="宋体" w:eastAsia="宋体" w:cs="宋体"/>
        </w:rPr>
        <w:fldChar w:fldCharType="separate"/>
      </w:r>
      <w:r>
        <w:rPr>
          <w:rFonts w:hint="eastAsia" w:ascii="宋体" w:hAnsi="宋体" w:eastAsia="宋体" w:cs="宋体"/>
        </w:rPr>
        <w:t>前言..................................................................................</w:t>
      </w:r>
      <w:r>
        <w:rPr>
          <w:rFonts w:hint="eastAsia" w:ascii="宋体" w:hAnsi="宋体" w:eastAsia="宋体" w:cs="宋体"/>
          <w:lang w:val="en-US" w:eastAsia="zh-CN"/>
        </w:rPr>
        <w:t>.</w:t>
      </w:r>
      <w:r>
        <w:rPr>
          <w:rFonts w:hint="eastAsia" w:ascii="宋体" w:hAnsi="宋体" w:eastAsia="宋体" w:cs="宋体"/>
        </w:rPr>
        <w:t>Ⅱ</w:t>
      </w:r>
      <w:r>
        <w:rPr>
          <w:rFonts w:hint="eastAsia" w:ascii="宋体" w:hAnsi="宋体" w:eastAsia="宋体" w:cs="宋体"/>
        </w:rPr>
        <w:fldChar w:fldCharType="end"/>
      </w:r>
      <w:r>
        <w:rPr>
          <w:rFonts w:hint="eastAsia" w:ascii="宋体" w:hAnsi="宋体" w:eastAsia="宋体" w:cs="宋体"/>
        </w:rPr>
        <w:br w:type="textWrapping"/>
      </w:r>
      <w:r>
        <w:rPr>
          <w:rFonts w:hint="eastAsia" w:ascii="宋体" w:hAnsi="宋体" w:eastAsia="宋体" w:cs="宋体"/>
        </w:rPr>
        <w:t>引言..................................................................................</w:t>
      </w:r>
      <w:r>
        <w:rPr>
          <w:rFonts w:hint="eastAsia" w:ascii="宋体" w:hAnsi="宋体" w:eastAsia="宋体" w:cs="宋体"/>
          <w:lang w:val="en-US" w:eastAsia="zh-CN"/>
        </w:rPr>
        <w:t>.</w:t>
      </w:r>
      <w:r>
        <w:rPr>
          <w:rFonts w:hint="eastAsia" w:ascii="宋体" w:hAnsi="宋体" w:eastAsia="宋体" w:cs="宋体"/>
        </w:rPr>
        <w:t>Ⅲ</w:t>
      </w:r>
    </w:p>
    <w:p w14:paraId="1FB2DCBF">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"_Toc160821106" </w:instrText>
      </w:r>
      <w:r>
        <w:rPr>
          <w:rFonts w:hint="eastAsia" w:ascii="宋体" w:hAnsi="宋体" w:eastAsia="宋体" w:cs="宋体"/>
        </w:rPr>
        <w:fldChar w:fldCharType="separate"/>
      </w:r>
      <w:r>
        <w:rPr>
          <w:rFonts w:hint="eastAsia" w:ascii="宋体" w:hAnsi="宋体" w:eastAsia="宋体" w:cs="宋体"/>
        </w:rPr>
        <w:t>1　范围.................................................................................</w:t>
      </w:r>
      <w:r>
        <w:rPr>
          <w:rFonts w:hint="eastAsia" w:ascii="宋体" w:hAnsi="宋体" w:eastAsia="宋体" w:cs="宋体"/>
        </w:rPr>
        <w:fldChar w:fldCharType="begin" w:fldLock="1"/>
      </w:r>
      <w:r>
        <w:rPr>
          <w:rFonts w:hint="eastAsia" w:ascii="宋体" w:hAnsi="宋体" w:eastAsia="宋体" w:cs="宋体"/>
        </w:rPr>
        <w:instrText xml:space="preserve"> PAGEREF _Toc160821106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fldChar w:fldCharType="end"/>
      </w:r>
    </w:p>
    <w:p w14:paraId="19BA4C13">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"_Toc160821107" </w:instrText>
      </w:r>
      <w:r>
        <w:rPr>
          <w:rFonts w:hint="eastAsia" w:ascii="宋体" w:hAnsi="宋体" w:eastAsia="宋体" w:cs="宋体"/>
        </w:rPr>
        <w:fldChar w:fldCharType="separate"/>
      </w:r>
      <w:r>
        <w:rPr>
          <w:rFonts w:hint="eastAsia" w:ascii="宋体" w:hAnsi="宋体" w:eastAsia="宋体" w:cs="宋体"/>
        </w:rPr>
        <w:t>2　规范性引用文件.......................................................................</w:t>
      </w:r>
      <w:r>
        <w:rPr>
          <w:rFonts w:hint="eastAsia" w:ascii="宋体" w:hAnsi="宋体" w:eastAsia="宋体" w:cs="宋体"/>
        </w:rPr>
        <w:fldChar w:fldCharType="begin" w:fldLock="1"/>
      </w:r>
      <w:r>
        <w:rPr>
          <w:rFonts w:hint="eastAsia" w:ascii="宋体" w:hAnsi="宋体" w:eastAsia="宋体" w:cs="宋体"/>
        </w:rPr>
        <w:instrText xml:space="preserve"> PAGEREF _Toc160821107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fldChar w:fldCharType="end"/>
      </w:r>
    </w:p>
    <w:p w14:paraId="20142241">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"_Toc160821108" </w:instrText>
      </w:r>
      <w:r>
        <w:rPr>
          <w:rFonts w:hint="eastAsia" w:ascii="宋体" w:hAnsi="宋体" w:eastAsia="宋体" w:cs="宋体"/>
        </w:rPr>
        <w:fldChar w:fldCharType="separate"/>
      </w:r>
      <w:r>
        <w:rPr>
          <w:rFonts w:hint="eastAsia" w:ascii="宋体" w:hAnsi="宋体" w:eastAsia="宋体" w:cs="宋体"/>
        </w:rPr>
        <w:t>3　术语和定义...........................................................................</w:t>
      </w:r>
      <w:r>
        <w:rPr>
          <w:rFonts w:hint="eastAsia" w:ascii="宋体" w:hAnsi="宋体" w:eastAsia="宋体" w:cs="宋体"/>
        </w:rPr>
        <w:fldChar w:fldCharType="begin" w:fldLock="1"/>
      </w:r>
      <w:r>
        <w:rPr>
          <w:rFonts w:hint="eastAsia" w:ascii="宋体" w:hAnsi="宋体" w:eastAsia="宋体" w:cs="宋体"/>
        </w:rPr>
        <w:instrText xml:space="preserve"> PAGEREF _Toc160821108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fldChar w:fldCharType="end"/>
      </w:r>
    </w:p>
    <w:p w14:paraId="28311D76">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"_Toc160821111" </w:instrText>
      </w:r>
      <w:r>
        <w:rPr>
          <w:rFonts w:hint="eastAsia" w:ascii="宋体" w:hAnsi="宋体" w:eastAsia="宋体" w:cs="宋体"/>
        </w:rPr>
        <w:fldChar w:fldCharType="separate"/>
      </w:r>
      <w:r>
        <w:rPr>
          <w:rFonts w:hint="eastAsia" w:ascii="宋体" w:hAnsi="宋体" w:eastAsia="宋体" w:cs="宋体"/>
        </w:rPr>
        <w:t>4　缩略语...............................................................................</w:t>
      </w:r>
      <w:r>
        <w:rPr>
          <w:rFonts w:hint="eastAsia" w:ascii="宋体" w:hAnsi="宋体" w:cs="宋体"/>
          <w:lang w:val="en-US" w:eastAsia="zh-CN"/>
        </w:rPr>
        <w:t>3</w:t>
      </w:r>
      <w:r>
        <w:rPr>
          <w:rFonts w:hint="eastAsia" w:ascii="宋体" w:hAnsi="宋体" w:eastAsia="宋体" w:cs="宋体"/>
        </w:rPr>
        <w:fldChar w:fldCharType="end"/>
      </w:r>
    </w:p>
    <w:p w14:paraId="1E3C746F">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"_Toc160821112" </w:instrText>
      </w:r>
      <w:r>
        <w:rPr>
          <w:rFonts w:hint="eastAsia" w:ascii="宋体" w:hAnsi="宋体" w:eastAsia="宋体" w:cs="宋体"/>
        </w:rPr>
        <w:fldChar w:fldCharType="separate"/>
      </w:r>
      <w:r>
        <w:rPr>
          <w:rFonts w:hint="eastAsia" w:ascii="宋体" w:hAnsi="宋体" w:eastAsia="宋体" w:cs="宋体"/>
        </w:rPr>
        <w:t>5　总则.................................................................................</w:t>
      </w:r>
      <w:r>
        <w:rPr>
          <w:rFonts w:hint="eastAsia" w:ascii="宋体" w:hAnsi="宋体" w:cs="宋体"/>
          <w:lang w:val="en-US" w:eastAsia="zh-CN"/>
        </w:rPr>
        <w:t>3</w:t>
      </w:r>
      <w:r>
        <w:rPr>
          <w:rFonts w:hint="eastAsia" w:ascii="宋体" w:hAnsi="宋体" w:eastAsia="宋体" w:cs="宋体"/>
        </w:rPr>
        <w:fldChar w:fldCharType="end"/>
      </w:r>
    </w:p>
    <w:p w14:paraId="687E4BF5">
      <w:pPr>
        <w:bidi w:val="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"_Toc160821116" </w:instrText>
      </w:r>
      <w:r>
        <w:rPr>
          <w:rFonts w:hint="eastAsia" w:ascii="宋体" w:hAnsi="宋体" w:eastAsia="宋体" w:cs="宋体"/>
        </w:rPr>
        <w:fldChar w:fldCharType="separate"/>
      </w:r>
      <w:r>
        <w:rPr>
          <w:rFonts w:hint="eastAsia" w:ascii="宋体" w:hAnsi="宋体" w:eastAsia="宋体" w:cs="宋体"/>
        </w:rPr>
        <w:t>6　原理.................................................................................</w:t>
      </w:r>
      <w:r>
        <w:rPr>
          <w:rFonts w:hint="eastAsia" w:ascii="宋体" w:hAnsi="宋体" w:cs="宋体"/>
          <w:lang w:val="en-US" w:eastAsia="zh-CN"/>
        </w:rPr>
        <w:t>4</w:t>
      </w:r>
      <w:r>
        <w:rPr>
          <w:rFonts w:hint="eastAsia" w:ascii="宋体" w:hAnsi="宋体" w:eastAsia="宋体" w:cs="宋体"/>
        </w:rPr>
        <w:fldChar w:fldCharType="end"/>
      </w:r>
    </w:p>
    <w:p w14:paraId="73EF0753">
      <w:pPr>
        <w:bidi w:val="0"/>
        <w:rPr>
          <w:rFonts w:hint="eastAsia" w:ascii="宋体" w:hAnsi="宋体" w:eastAsia="宋体" w:cs="宋体"/>
          <w:lang w:eastAsia="zh-CN"/>
        </w:rPr>
      </w:pPr>
      <w:r>
        <w:rPr>
          <w:rFonts w:hint="eastAsia" w:ascii="宋体" w:hAnsi="宋体" w:eastAsia="宋体" w:cs="宋体"/>
        </w:rPr>
        <w:t>7  样本处理.............................................................................</w:t>
      </w:r>
      <w:r>
        <w:rPr>
          <w:rFonts w:hint="eastAsia" w:ascii="宋体" w:hAnsi="宋体" w:eastAsia="宋体" w:cs="宋体"/>
          <w:lang w:val="en-US" w:eastAsia="zh-CN"/>
        </w:rPr>
        <w:t>4</w:t>
      </w:r>
    </w:p>
    <w:p w14:paraId="13A24CD2">
      <w:pPr>
        <w:bidi w:val="0"/>
        <w:rPr>
          <w:rFonts w:hint="eastAsia" w:ascii="宋体" w:hAnsi="宋体" w:eastAsia="宋体" w:cs="宋体"/>
          <w:lang w:eastAsia="zh-CN"/>
        </w:rPr>
      </w:pPr>
      <w:r>
        <w:rPr>
          <w:rFonts w:hint="eastAsia" w:ascii="宋体" w:hAnsi="宋体" w:eastAsia="宋体" w:cs="宋体"/>
        </w:rPr>
        <w:t>8  Sanger测序工艺流程..................................................................</w:t>
      </w:r>
      <w:r>
        <w:rPr>
          <w:rFonts w:hint="eastAsia" w:ascii="宋体" w:hAnsi="宋体" w:eastAsia="宋体" w:cs="宋体"/>
          <w:lang w:val="en-US" w:eastAsia="zh-CN"/>
        </w:rPr>
        <w:t xml:space="preserve"> </w:t>
      </w:r>
      <w:r>
        <w:rPr>
          <w:rFonts w:hint="eastAsia" w:ascii="宋体" w:hAnsi="宋体" w:cs="宋体"/>
          <w:lang w:val="en-US" w:eastAsia="zh-CN"/>
        </w:rPr>
        <w:t>5</w:t>
      </w:r>
    </w:p>
    <w:p w14:paraId="2CF0C9BB">
      <w:pPr>
        <w:bidi w:val="0"/>
        <w:rPr>
          <w:rFonts w:hint="eastAsia" w:ascii="宋体" w:hAnsi="宋体" w:eastAsia="宋体" w:cs="宋体"/>
          <w:lang w:eastAsia="zh-CN"/>
        </w:rPr>
      </w:pPr>
      <w:r>
        <w:rPr>
          <w:rFonts w:hint="eastAsia" w:ascii="宋体" w:hAnsi="宋体" w:eastAsia="宋体" w:cs="宋体"/>
        </w:rPr>
        <w:t>9  高通量测序工艺流程...................................................................</w:t>
      </w:r>
      <w:r>
        <w:rPr>
          <w:rFonts w:hint="eastAsia" w:ascii="宋体" w:hAnsi="宋体" w:eastAsia="宋体" w:cs="宋体"/>
          <w:lang w:val="en-US" w:eastAsia="zh-CN"/>
        </w:rPr>
        <w:t>5</w:t>
      </w:r>
    </w:p>
    <w:p w14:paraId="1AD10DF7">
      <w:pPr>
        <w:bidi w:val="0"/>
        <w:rPr>
          <w:rFonts w:hint="eastAsia" w:ascii="宋体" w:hAnsi="宋体" w:eastAsia="宋体" w:cs="宋体"/>
          <w:lang w:val="en-US" w:eastAsia="zh-CN"/>
        </w:rPr>
      </w:pPr>
      <w:r>
        <w:rPr>
          <w:rFonts w:hint="eastAsia" w:ascii="宋体" w:hAnsi="宋体" w:eastAsia="宋体" w:cs="宋体"/>
        </w:rPr>
        <w:t>10 基因合成工艺流程.....................................................................</w:t>
      </w:r>
      <w:r>
        <w:rPr>
          <w:rFonts w:hint="eastAsia" w:ascii="宋体" w:hAnsi="宋体" w:eastAsia="宋体" w:cs="宋体"/>
          <w:lang w:val="en-US" w:eastAsia="zh-CN"/>
        </w:rPr>
        <w:t>7</w:t>
      </w:r>
    </w:p>
    <w:p w14:paraId="0D57862C">
      <w:pPr>
        <w:bidi w:val="0"/>
        <w:rPr>
          <w:rFonts w:hint="eastAsia" w:ascii="宋体" w:hAnsi="宋体" w:eastAsia="宋体" w:cs="宋体"/>
          <w:lang w:eastAsia="zh-CN"/>
        </w:rPr>
      </w:pPr>
      <w:r>
        <w:rPr>
          <w:rFonts w:hint="eastAsia" w:ascii="宋体" w:hAnsi="宋体" w:eastAsia="宋体" w:cs="宋体"/>
        </w:rPr>
        <w:t>附录A（资料性）</w:t>
      </w:r>
      <w:r>
        <w:rPr>
          <w:rFonts w:hint="eastAsia" w:ascii="宋体" w:hAnsi="宋体" w:eastAsia="宋体" w:cs="宋体"/>
          <w:lang w:val="en-US" w:eastAsia="zh-CN"/>
        </w:rPr>
        <w:t xml:space="preserve">  </w:t>
      </w:r>
      <w:r>
        <w:rPr>
          <w:rFonts w:hint="eastAsia" w:ascii="宋体" w:hAnsi="宋体" w:eastAsia="宋体" w:cs="宋体"/>
        </w:rPr>
        <w:t>主要仪器设备............................................................</w:t>
      </w:r>
      <w:r>
        <w:rPr>
          <w:rFonts w:hint="eastAsia" w:ascii="宋体" w:hAnsi="宋体" w:eastAsia="宋体" w:cs="宋体"/>
          <w:lang w:val="en-US" w:eastAsia="zh-CN"/>
        </w:rPr>
        <w:t>9</w:t>
      </w:r>
    </w:p>
    <w:p w14:paraId="2C756FDD">
      <w:pPr>
        <w:bidi w:val="0"/>
        <w:rPr>
          <w:rFonts w:hint="eastAsia" w:ascii="宋体" w:hAnsi="宋体" w:eastAsia="宋体" w:cs="宋体"/>
          <w:lang w:eastAsia="zh-CN"/>
        </w:rPr>
      </w:pPr>
      <w:r>
        <w:rPr>
          <w:rFonts w:hint="eastAsia" w:ascii="宋体" w:hAnsi="宋体" w:eastAsia="宋体" w:cs="宋体"/>
        </w:rPr>
        <w:t xml:space="preserve">附录B（资料性） </w:t>
      </w:r>
      <w:r>
        <w:rPr>
          <w:rFonts w:hint="eastAsia" w:ascii="宋体" w:hAnsi="宋体" w:eastAsia="宋体" w:cs="宋体"/>
          <w:lang w:val="en-US" w:eastAsia="zh-CN"/>
        </w:rPr>
        <w:t xml:space="preserve"> </w:t>
      </w:r>
      <w:r>
        <w:rPr>
          <w:rFonts w:hint="eastAsia" w:ascii="宋体" w:hAnsi="宋体" w:eastAsia="宋体" w:cs="宋体"/>
        </w:rPr>
        <w:t>主要试剂及溶液.........................................................1</w:t>
      </w:r>
      <w:r>
        <w:rPr>
          <w:rFonts w:hint="eastAsia" w:ascii="宋体" w:hAnsi="宋体" w:eastAsia="宋体" w:cs="宋体"/>
          <w:lang w:val="en-US" w:eastAsia="zh-CN"/>
        </w:rPr>
        <w:t>0</w:t>
      </w:r>
    </w:p>
    <w:p w14:paraId="1871FC1F">
      <w:pPr>
        <w:bidi w:val="0"/>
        <w:rPr>
          <w:rFonts w:hint="eastAsia" w:ascii="宋体" w:hAnsi="宋体" w:eastAsia="宋体" w:cs="宋体"/>
          <w:lang w:eastAsia="zh-CN"/>
        </w:rPr>
      </w:pPr>
      <w:r>
        <w:rPr>
          <w:rFonts w:hint="eastAsia" w:ascii="宋体" w:hAnsi="宋体" w:eastAsia="宋体" w:cs="宋体"/>
        </w:rPr>
        <w:t>附录</w:t>
      </w:r>
      <w:r>
        <w:rPr>
          <w:rFonts w:hint="eastAsia" w:ascii="宋体" w:hAnsi="宋体" w:eastAsia="宋体" w:cs="宋体"/>
          <w:lang w:val="en-US" w:eastAsia="zh-CN"/>
        </w:rPr>
        <w:t>C（资料性</w:t>
      </w:r>
      <w:r>
        <w:rPr>
          <w:rFonts w:hint="eastAsia" w:ascii="宋体" w:hAnsi="宋体" w:cs="宋体"/>
          <w:lang w:val="en-US" w:eastAsia="zh-CN"/>
        </w:rPr>
        <w:t xml:space="preserve">)  </w:t>
      </w:r>
      <w:r>
        <w:rPr>
          <w:rFonts w:hint="eastAsia" w:ascii="宋体" w:hAnsi="宋体" w:eastAsia="宋体" w:cs="宋体"/>
        </w:rPr>
        <w:t>工艺流程示意图.........................................................1</w:t>
      </w:r>
      <w:r>
        <w:rPr>
          <w:rFonts w:hint="eastAsia" w:ascii="宋体" w:hAnsi="宋体" w:eastAsia="宋体" w:cs="宋体"/>
          <w:lang w:val="en-US" w:eastAsia="zh-CN"/>
        </w:rPr>
        <w:t>1</w:t>
      </w:r>
    </w:p>
    <w:p w14:paraId="2DE52EB7">
      <w:pPr>
        <w:bidi w:val="0"/>
        <w:rPr>
          <w:rFonts w:hint="eastAsia" w:ascii="宋体" w:hAnsi="宋体" w:eastAsia="宋体" w:cs="宋体"/>
          <w:lang w:eastAsia="zh-CN"/>
        </w:rPr>
      </w:pPr>
      <w:r>
        <w:rPr>
          <w:rFonts w:hint="eastAsia" w:ascii="宋体" w:hAnsi="宋体" w:eastAsia="宋体" w:cs="宋体"/>
        </w:rPr>
        <w:t>附录D（资料性）</w:t>
      </w:r>
      <w:r>
        <w:rPr>
          <w:rFonts w:hint="eastAsia" w:ascii="宋体" w:hAnsi="宋体" w:eastAsia="宋体" w:cs="宋体"/>
          <w:lang w:val="en-US" w:eastAsia="zh-CN"/>
        </w:rPr>
        <w:t xml:space="preserve">  </w:t>
      </w:r>
      <w:r>
        <w:rPr>
          <w:rFonts w:hint="eastAsia" w:ascii="宋体" w:hAnsi="宋体" w:eastAsia="宋体" w:cs="宋体"/>
        </w:rPr>
        <w:t>主要实验方法...........................................................1</w:t>
      </w:r>
      <w:r>
        <w:rPr>
          <w:rFonts w:hint="eastAsia" w:ascii="宋体" w:hAnsi="宋体" w:eastAsia="宋体" w:cs="宋体"/>
          <w:lang w:val="en-US" w:eastAsia="zh-CN"/>
        </w:rPr>
        <w:t>4</w:t>
      </w:r>
    </w:p>
    <w:p w14:paraId="1B04138F">
      <w:pPr>
        <w:bidi w:val="0"/>
        <w:rPr>
          <w:rFonts w:hint="eastAsia" w:ascii="宋体" w:hAnsi="宋体" w:eastAsia="宋体" w:cs="宋体"/>
          <w:lang w:eastAsia="zh-CN"/>
        </w:rPr>
      </w:pPr>
      <w:r>
        <w:rPr>
          <w:rFonts w:hint="eastAsia" w:ascii="宋体" w:hAnsi="宋体" w:eastAsia="宋体" w:cs="宋体"/>
        </w:rPr>
        <w:t xml:space="preserve">附录E（资料性） </w:t>
      </w:r>
      <w:r>
        <w:rPr>
          <w:rFonts w:hint="eastAsia" w:ascii="宋体" w:hAnsi="宋体" w:eastAsia="宋体" w:cs="宋体"/>
          <w:lang w:val="en-US" w:eastAsia="zh-CN"/>
        </w:rPr>
        <w:t xml:space="preserve"> </w:t>
      </w:r>
      <w:r>
        <w:rPr>
          <w:rFonts w:hint="eastAsia" w:ascii="宋体" w:hAnsi="宋体" w:eastAsia="宋体" w:cs="宋体"/>
        </w:rPr>
        <w:t>二代测序仪测序步骤.....................................................1</w:t>
      </w:r>
      <w:r>
        <w:rPr>
          <w:rFonts w:hint="eastAsia" w:ascii="宋体" w:hAnsi="宋体" w:eastAsia="宋体" w:cs="宋体"/>
          <w:lang w:val="en-US" w:eastAsia="zh-CN"/>
        </w:rPr>
        <w:t>6</w:t>
      </w:r>
    </w:p>
    <w:p w14:paraId="73F46D4F">
      <w:pPr>
        <w:bidi w:val="0"/>
        <w:rPr>
          <w:rFonts w:hint="eastAsia" w:ascii="宋体" w:hAnsi="宋体" w:eastAsia="宋体" w:cs="宋体"/>
          <w:lang w:val="en-US" w:eastAsia="zh-CN"/>
        </w:rPr>
      </w:pPr>
      <w:r>
        <w:rPr>
          <w:rFonts w:hint="eastAsia" w:ascii="宋体" w:hAnsi="宋体" w:eastAsia="宋体" w:cs="宋体"/>
        </w:rPr>
        <w:t xml:space="preserve">附录F（资料性） </w:t>
      </w:r>
      <w:r>
        <w:rPr>
          <w:rFonts w:hint="eastAsia" w:ascii="宋体" w:hAnsi="宋体" w:eastAsia="宋体" w:cs="宋体"/>
          <w:lang w:val="en-US" w:eastAsia="zh-CN"/>
        </w:rPr>
        <w:t xml:space="preserve"> </w:t>
      </w:r>
      <w:r>
        <w:rPr>
          <w:rFonts w:hint="eastAsia" w:ascii="宋体" w:hAnsi="宋体" w:eastAsia="宋体" w:cs="宋体"/>
        </w:rPr>
        <w:t>寡核苷酸（oligo）片段合成步骤............................................1</w:t>
      </w:r>
      <w:r>
        <w:rPr>
          <w:rFonts w:hint="eastAsia" w:ascii="宋体" w:hAnsi="宋体" w:eastAsia="宋体" w:cs="宋体"/>
          <w:lang w:val="en-US" w:eastAsia="zh-CN"/>
        </w:rPr>
        <w:t>7</w:t>
      </w:r>
      <w:r>
        <w:rPr>
          <w:rFonts w:hint="eastAsia" w:ascii="宋体" w:hAnsi="宋体" w:eastAsia="宋体" w:cs="宋体"/>
        </w:rPr>
        <w:br w:type="textWrapping"/>
      </w:r>
      <w:r>
        <w:rPr>
          <w:rFonts w:hint="eastAsia" w:ascii="宋体" w:hAnsi="宋体" w:eastAsia="宋体" w:cs="宋体"/>
        </w:rPr>
        <w:t xml:space="preserve">附录G（资料性） </w:t>
      </w:r>
      <w:r>
        <w:rPr>
          <w:rFonts w:hint="eastAsia" w:ascii="宋体" w:hAnsi="宋体" w:eastAsia="宋体" w:cs="宋体"/>
          <w:lang w:val="en-US" w:eastAsia="zh-CN"/>
        </w:rPr>
        <w:t xml:space="preserve"> </w:t>
      </w:r>
      <w:r>
        <w:rPr>
          <w:rFonts w:hint="eastAsia" w:ascii="宋体" w:hAnsi="宋体" w:eastAsia="宋体" w:cs="宋体"/>
        </w:rPr>
        <w:t>引物纯化方式...........................................................1</w:t>
      </w:r>
      <w:r>
        <w:rPr>
          <w:rFonts w:hint="eastAsia" w:ascii="宋体" w:hAnsi="宋体" w:eastAsia="宋体" w:cs="宋体"/>
          <w:lang w:val="en-US" w:eastAsia="zh-CN"/>
        </w:rPr>
        <w:t>8</w:t>
      </w:r>
      <w:r>
        <w:rPr>
          <w:rFonts w:hint="eastAsia" w:ascii="宋体" w:hAnsi="宋体" w:eastAsia="宋体" w:cs="宋体"/>
        </w:rPr>
        <w:t>参考文献...............................................................................</w:t>
      </w:r>
      <w:r>
        <w:rPr>
          <w:rFonts w:hint="eastAsia" w:ascii="宋体" w:hAnsi="宋体" w:eastAsia="宋体" w:cs="宋体"/>
          <w:lang w:val="en-US" w:eastAsia="zh-CN"/>
        </w:rPr>
        <w:t>20</w:t>
      </w:r>
    </w:p>
    <w:p w14:paraId="527AB610">
      <w:pPr>
        <w:pStyle w:val="19"/>
        <w:spacing w:before="78" w:after="78"/>
      </w:pPr>
    </w:p>
    <w:p w14:paraId="6AC1CFAC">
      <w:pPr>
        <w:pStyle w:val="23"/>
        <w:ind w:firstLine="0" w:firstLineChars="0"/>
        <w:sectPr>
          <w:headerReference r:id="rId3" w:type="default"/>
          <w:footerReference r:id="rId4" w:type="default"/>
          <w:pgSz w:w="11906" w:h="16838"/>
          <w:pgMar w:top="567" w:right="1134" w:bottom="1134" w:left="1418" w:header="1418" w:footer="1134" w:gutter="0"/>
          <w:pgNumType w:fmt="upperRoman" w:start="1"/>
          <w:cols w:space="425" w:num="1"/>
          <w:formProt w:val="0"/>
          <w:docGrid w:type="lines" w:linePitch="312" w:charSpace="0"/>
        </w:sectPr>
      </w:pPr>
      <w:r>
        <w:fldChar w:fldCharType="end"/>
      </w:r>
      <w:bookmarkStart w:id="14" w:name="_Toc160821105"/>
    </w:p>
    <w:p w14:paraId="53AB3038">
      <w:pPr>
        <w:pStyle w:val="114"/>
      </w:pPr>
      <w:r>
        <w:rPr>
          <w:rFonts w:hint="eastAsia"/>
        </w:rPr>
        <w:t>前</w:t>
      </w:r>
      <w:bookmarkStart w:id="15" w:name="BKQY"/>
      <w:r>
        <w:rPr>
          <w:rFonts w:hAnsi="黑体"/>
        </w:rPr>
        <w:t>  </w:t>
      </w:r>
      <w:r>
        <w:rPr>
          <w:rFonts w:hint="eastAsia"/>
        </w:rPr>
        <w:t>言</w:t>
      </w:r>
      <w:bookmarkEnd w:id="14"/>
      <w:bookmarkEnd w:id="15"/>
    </w:p>
    <w:p w14:paraId="02F3299C">
      <w:pPr>
        <w:pStyle w:val="23"/>
        <w:rPr>
          <w:rFonts w:ascii="Times New Roman"/>
        </w:rPr>
      </w:pPr>
      <w:r>
        <w:rPr>
          <w:rFonts w:ascii="Times New Roman"/>
        </w:rPr>
        <w:t>本文件参照GB/T 1.1-2020《标准化工作导则 第</w:t>
      </w:r>
      <w:r>
        <w:rPr>
          <w:rFonts w:hint="eastAsia" w:ascii="Times New Roman"/>
          <w:lang w:val="en-US" w:eastAsia="zh-CN"/>
        </w:rPr>
        <w:t xml:space="preserve"> </w:t>
      </w:r>
      <w:r>
        <w:rPr>
          <w:rFonts w:ascii="Times New Roman"/>
        </w:rPr>
        <w:t>1</w:t>
      </w:r>
      <w:r>
        <w:rPr>
          <w:rFonts w:hint="eastAsia" w:ascii="Times New Roman"/>
          <w:lang w:val="en-US" w:eastAsia="zh-CN"/>
        </w:rPr>
        <w:t xml:space="preserve"> </w:t>
      </w:r>
      <w:r>
        <w:rPr>
          <w:rFonts w:ascii="Times New Roman"/>
        </w:rPr>
        <w:t>部分：标准化文件的结构和起草规则》的规定起草。</w:t>
      </w:r>
    </w:p>
    <w:p w14:paraId="4F06FCE7">
      <w:pPr>
        <w:pStyle w:val="23"/>
        <w:rPr>
          <w:rFonts w:ascii="Times New Roman"/>
        </w:rPr>
      </w:pPr>
      <w:r>
        <w:rPr>
          <w:rFonts w:ascii="Times New Roman"/>
        </w:rPr>
        <w:t>请注意本文件的某些内容可能涉及专利。本文件的发布机构不承担识别专利的责任。</w:t>
      </w:r>
    </w:p>
    <w:p w14:paraId="0941B56A">
      <w:pPr>
        <w:pStyle w:val="23"/>
        <w:rPr>
          <w:rFonts w:ascii="Times New Roman"/>
        </w:rPr>
      </w:pPr>
      <w:r>
        <w:rPr>
          <w:rFonts w:ascii="Times New Roman"/>
        </w:rPr>
        <w:t>本文件由山东科技咨询协会提出并归口。</w:t>
      </w:r>
    </w:p>
    <w:p w14:paraId="6266CC02">
      <w:pPr>
        <w:pStyle w:val="23"/>
        <w:rPr>
          <w:rFonts w:hint="eastAsia" w:ascii="Times New Roman" w:eastAsia="宋体"/>
          <w:lang w:eastAsia="zh-CN"/>
        </w:rPr>
      </w:pPr>
      <w:r>
        <w:rPr>
          <w:rFonts w:ascii="Times New Roman"/>
        </w:rPr>
        <w:t>本文件起草单位：</w:t>
      </w:r>
      <w:r>
        <w:rPr>
          <w:rFonts w:hint="eastAsia"/>
        </w:rPr>
        <w:t>丽山健康（山东）集团有限公司、山东丽山生物科技有限公司、山东丽山细胞医学发展有限公司、槿椿康养发展（山东）有限公司、山东槿椿资产运营有限公司</w:t>
      </w:r>
      <w:r>
        <w:rPr>
          <w:rFonts w:hint="eastAsia"/>
          <w:lang w:eastAsia="zh-CN"/>
        </w:rPr>
        <w:t>。</w:t>
      </w:r>
    </w:p>
    <w:p w14:paraId="4284C9F4">
      <w:pPr>
        <w:pStyle w:val="23"/>
        <w:rPr>
          <w:rFonts w:hint="eastAsia" w:eastAsia="宋体"/>
          <w:lang w:val="en-US" w:eastAsia="zh-CN"/>
        </w:rPr>
        <w:sectPr>
          <w:footerReference r:id="rId5" w:type="default"/>
          <w:pgSz w:w="11906" w:h="16838"/>
          <w:pgMar w:top="567" w:right="1134" w:bottom="1134" w:left="1418" w:header="1418" w:footer="1134" w:gutter="0"/>
          <w:pgNumType w:fmt="upperRoman" w:start="2"/>
          <w:cols w:space="425" w:num="1"/>
          <w:formProt w:val="0"/>
          <w:docGrid w:type="lines" w:linePitch="312" w:charSpace="0"/>
        </w:sectPr>
      </w:pPr>
      <w:r>
        <w:rPr>
          <w:rFonts w:ascii="Times New Roman"/>
        </w:rPr>
        <w:t>本文件主要起草人</w:t>
      </w:r>
      <w:r>
        <w:rPr>
          <w:rFonts w:hint="eastAsia" w:ascii="Times New Roman"/>
          <w:lang w:eastAsia="zh-CN"/>
        </w:rPr>
        <w:t>：</w:t>
      </w:r>
      <w:r>
        <w:rPr>
          <w:rFonts w:hint="eastAsia" w:ascii="Times New Roman"/>
          <w:lang w:val="en-US" w:eastAsia="zh-CN"/>
        </w:rPr>
        <w:t>高俊、闫礼德、房路、邱学良，秦立双、杨雅娟、苏彦鑫、胡跃严、徐文强、庞庆霄、祝天成、纪元、李丹青、李伟君、杨学文、闫军燕、张文丽、孙玉桃、李冉冉、王英宗、孙镇、刘洋、窦梅杰、满耕孝。</w:t>
      </w:r>
    </w:p>
    <w:p w14:paraId="011E86D7">
      <w:pPr>
        <w:pStyle w:val="114"/>
      </w:pPr>
      <w:r>
        <w:rPr>
          <w:rFonts w:hint="eastAsia"/>
        </w:rPr>
        <w:t>引  言</w:t>
      </w:r>
    </w:p>
    <w:p w14:paraId="60641F29">
      <w:pPr>
        <w:pStyle w:val="23"/>
        <w:rPr>
          <w:szCs w:val="21"/>
        </w:rPr>
      </w:pPr>
      <w:r>
        <w:rPr>
          <w:rFonts w:hint="eastAsia"/>
          <w:szCs w:val="21"/>
        </w:rPr>
        <w:t>随着基因测序与合成技术的不断发展和广泛应用，其逐渐丰富和渗透至医学、健康、环境、农业等各个领域。随着我国基因测序与合成产业相关支持政策集中出台、公共卫生防控意识升级、国民卫生支出的持续提升，市场规模有巨大的潜力和发展空间。而目前市面上的测序技术、测序仪器及设备更新迭代，因此制定标准化的基因测序与合成工艺流程并加以推广应用，各生物企业乃至整个国内行业就能获得一个绝好的技术规范，有利于推动整个行业产业链的健康发展，提升整个行业的技术实力，同时确保基因测序与合成工艺流程的质量，获得可靠的测序数据，避免信息错误和信息丢失等情况的出现。</w:t>
      </w:r>
    </w:p>
    <w:p w14:paraId="22CB9F1C">
      <w:pPr>
        <w:pStyle w:val="23"/>
        <w:rPr>
          <w:szCs w:val="21"/>
        </w:rPr>
        <w:sectPr>
          <w:headerReference r:id="rId6" w:type="default"/>
          <w:footerReference r:id="rId7" w:type="default"/>
          <w:pgSz w:w="11906" w:h="16838"/>
          <w:pgMar w:top="567" w:right="1134" w:bottom="1134" w:left="1418" w:header="1418" w:footer="1134" w:gutter="0"/>
          <w:pgNumType w:fmt="upperRoman" w:start="3"/>
          <w:cols w:space="425" w:num="1"/>
          <w:formProt w:val="0"/>
          <w:docGrid w:type="lines" w:linePitch="312" w:charSpace="0"/>
        </w:sectPr>
      </w:pPr>
      <w:r>
        <w:rPr>
          <w:rFonts w:hint="eastAsia"/>
          <w:szCs w:val="21"/>
        </w:rPr>
        <w:t>由于基因测序与合成技术并非单一技术，涉及到不同技术领域的结合，包括生物、化学、材料、机械、数据处理等，因此本标准仅对常规使用一代测序、二代测序、基因合成的术语、技术指标以及涉及到的技术设备、检验检测方法及常规流程进行说明和规定。</w:t>
      </w:r>
    </w:p>
    <w:p w14:paraId="1A3946A7">
      <w:pPr>
        <w:pStyle w:val="52"/>
      </w:pPr>
      <w:sdt>
        <w:sdtPr>
          <w:alias w:val="标准名称"/>
          <w:tag w:val="标准名称"/>
          <w:id w:val="1795105741"/>
          <w:lock w:val="sdtLocked"/>
          <w:placeholder>
            <w:docPart w:val="111"/>
          </w:placeholder>
          <w:text w:multiLine="1"/>
        </w:sdtPr>
        <w:sdtContent>
          <w:r>
            <w:rPr>
              <w:rFonts w:hint="eastAsia"/>
            </w:rPr>
            <w:t>基因测序与合成工艺</w:t>
          </w:r>
          <w:r>
            <w:rPr>
              <w:rFonts w:hint="eastAsia"/>
              <w:lang w:val="en-US" w:eastAsia="zh-CN"/>
            </w:rPr>
            <w:t>技术要求</w:t>
          </w:r>
        </w:sdtContent>
      </w:sdt>
      <w:bookmarkStart w:id="16" w:name="StandardName"/>
      <w:bookmarkEnd w:id="16"/>
    </w:p>
    <w:p w14:paraId="36227295">
      <w:pPr>
        <w:pStyle w:val="47"/>
        <w:spacing w:before="312" w:after="312"/>
        <w:rPr>
          <w:rFonts w:ascii="Times New Roman"/>
        </w:rPr>
      </w:pPr>
      <w:bookmarkStart w:id="17" w:name="_Toc160821106"/>
      <w:r>
        <w:rPr>
          <w:rFonts w:hint="eastAsia"/>
        </w:rPr>
        <w:t>范</w:t>
      </w:r>
      <w:r>
        <w:rPr>
          <w:rFonts w:ascii="Times New Roman"/>
        </w:rPr>
        <w:t>围</w:t>
      </w:r>
      <w:bookmarkEnd w:id="17"/>
    </w:p>
    <w:p w14:paraId="50680C83">
      <w:pPr>
        <w:pStyle w:val="23"/>
        <w:rPr>
          <w:rFonts w:ascii="Times New Roman"/>
        </w:rPr>
      </w:pPr>
      <w:bookmarkStart w:id="18" w:name="_Toc160821107"/>
      <w:r>
        <w:rPr>
          <w:rFonts w:ascii="Times New Roman"/>
        </w:rPr>
        <w:t>本</w:t>
      </w:r>
      <w:r>
        <w:rPr>
          <w:rFonts w:hint="eastAsia" w:ascii="Times New Roman"/>
        </w:rPr>
        <w:t>文件</w:t>
      </w:r>
      <w:r>
        <w:rPr>
          <w:rFonts w:ascii="Times New Roman"/>
        </w:rPr>
        <w:t>规定了基因测序与合成工艺流程的总则</w:t>
      </w:r>
      <w:r>
        <w:rPr>
          <w:rFonts w:hint="eastAsia" w:ascii="Times New Roman"/>
          <w:lang w:eastAsia="zh-CN"/>
        </w:rPr>
        <w:t>、</w:t>
      </w:r>
      <w:r>
        <w:rPr>
          <w:rFonts w:ascii="Times New Roman"/>
        </w:rPr>
        <w:t>原理</w:t>
      </w:r>
      <w:r>
        <w:rPr>
          <w:rFonts w:hint="eastAsia" w:ascii="Times New Roman"/>
          <w:lang w:eastAsia="zh-CN"/>
        </w:rPr>
        <w:t>、</w:t>
      </w:r>
      <w:r>
        <w:rPr>
          <w:rFonts w:ascii="Times New Roman"/>
        </w:rPr>
        <w:t>样本处理Sanger测序工艺流程、二代测序（NGS）工艺流程、基因合成工艺流程。</w:t>
      </w:r>
    </w:p>
    <w:p w14:paraId="255ABF7C">
      <w:pPr>
        <w:pStyle w:val="23"/>
        <w:rPr>
          <w:rFonts w:ascii="Times New Roman"/>
        </w:rPr>
      </w:pPr>
      <w:r>
        <w:rPr>
          <w:rFonts w:ascii="Times New Roman"/>
        </w:rPr>
        <w:t>本</w:t>
      </w:r>
      <w:r>
        <w:rPr>
          <w:rFonts w:hint="eastAsia" w:ascii="Times New Roman"/>
        </w:rPr>
        <w:t>文件</w:t>
      </w:r>
      <w:r>
        <w:rPr>
          <w:rFonts w:ascii="Times New Roman"/>
        </w:rPr>
        <w:t>适用于对基因测序与合成工艺流程的指导。</w:t>
      </w:r>
    </w:p>
    <w:p w14:paraId="5602B4BE">
      <w:pPr>
        <w:pStyle w:val="47"/>
        <w:spacing w:before="312" w:after="312"/>
        <w:rPr>
          <w:rFonts w:ascii="Times New Roman"/>
        </w:rPr>
      </w:pPr>
      <w:r>
        <w:rPr>
          <w:rFonts w:ascii="Times New Roman"/>
        </w:rPr>
        <w:t>规范性引用文件</w:t>
      </w:r>
      <w:bookmarkEnd w:id="18"/>
    </w:p>
    <w:p w14:paraId="1ADF1F3F">
      <w:pPr>
        <w:pStyle w:val="23"/>
        <w:rPr>
          <w:rFonts w:ascii="Times New Roman"/>
        </w:rPr>
      </w:pPr>
      <w:bookmarkStart w:id="19" w:name="_Toc160821108"/>
      <w:r>
        <w:rPr>
          <w:rFonts w:ascii="Times New Roman"/>
        </w:rPr>
        <w:t>下列文件中的内容通过文中的规范性引用而构成本文件必不可少的条款。其中，注日期的引用文件，仅该日期对应的版本适用于本文件；不注日期的引用文件，其最新版本（包括所有的修改单）适用于本文件。</w:t>
      </w:r>
    </w:p>
    <w:p w14:paraId="15307546">
      <w:pPr>
        <w:pStyle w:val="23"/>
        <w:ind w:left="420" w:leftChars="200" w:firstLine="0" w:firstLineChars="0"/>
        <w:rPr>
          <w:rFonts w:hint="eastAsia" w:ascii="宋体" w:hAnsi="宋体" w:eastAsia="宋体" w:cs="宋体"/>
        </w:rPr>
      </w:pPr>
      <w:r>
        <w:rPr>
          <w:rFonts w:hint="eastAsia" w:ascii="Times New Roman" w:hAnsi="Times New Roman" w:eastAsia="宋体" w:cs="Times New Roman"/>
        </w:rPr>
        <w:t>GB/T 27025-</w:t>
      </w:r>
      <w:r>
        <w:rPr>
          <w:rFonts w:hint="eastAsia" w:ascii="Times New Roman" w:hAnsi="Times New Roman" w:eastAsia="宋体" w:cs="Times New Roman"/>
          <w:lang w:val="en-US" w:eastAsia="zh-CN"/>
        </w:rPr>
        <w:t>2019</w:t>
      </w:r>
      <w:r>
        <w:rPr>
          <w:rFonts w:hint="eastAsia" w:ascii="宋体" w:hAnsi="宋体" w:eastAsia="宋体" w:cs="宋体"/>
          <w:lang w:val="en-US" w:eastAsia="zh-CN"/>
        </w:rPr>
        <w:t xml:space="preserve"> </w:t>
      </w:r>
      <w:r>
        <w:rPr>
          <w:rFonts w:hint="eastAsia" w:ascii="宋体" w:hAnsi="宋体" w:eastAsia="宋体" w:cs="宋体"/>
        </w:rPr>
        <w:t>检测和校准实验室能力的通用要求</w:t>
      </w:r>
    </w:p>
    <w:p w14:paraId="742D6FD3">
      <w:pPr>
        <w:pStyle w:val="23"/>
        <w:ind w:left="420" w:leftChars="200" w:firstLine="0" w:firstLineChars="0"/>
        <w:rPr>
          <w:rFonts w:hint="eastAsia" w:ascii="宋体" w:hAnsi="宋体" w:eastAsia="宋体" w:cs="宋体"/>
        </w:rPr>
      </w:pPr>
      <w:r>
        <w:rPr>
          <w:rFonts w:hint="eastAsia" w:ascii="Times New Roman" w:hAnsi="Times New Roman" w:eastAsia="宋体" w:cs="Times New Roman"/>
        </w:rPr>
        <w:t>GB/T 30989-2014</w:t>
      </w:r>
      <w:r>
        <w:rPr>
          <w:rFonts w:hint="eastAsia" w:ascii="宋体" w:hAnsi="宋体" w:eastAsia="宋体" w:cs="宋体"/>
        </w:rPr>
        <w:t xml:space="preserve"> 高通量基因测序技术规程</w:t>
      </w:r>
    </w:p>
    <w:p w14:paraId="6871B73F">
      <w:pPr>
        <w:pStyle w:val="23"/>
        <w:rPr>
          <w:rFonts w:hint="eastAsia" w:ascii="宋体" w:hAnsi="宋体" w:eastAsia="宋体" w:cs="宋体"/>
        </w:rPr>
      </w:pPr>
      <w:r>
        <w:rPr>
          <w:rFonts w:hint="eastAsia" w:ascii="Times New Roman" w:hAnsi="Times New Roman" w:eastAsia="宋体" w:cs="Times New Roman"/>
        </w:rPr>
        <w:t xml:space="preserve">GB/T 37873-2019 </w:t>
      </w:r>
      <w:r>
        <w:rPr>
          <w:rFonts w:hint="eastAsia" w:ascii="宋体" w:hAnsi="宋体" w:eastAsia="宋体" w:cs="宋体"/>
        </w:rPr>
        <w:t>合成基因质量评价通则</w:t>
      </w:r>
    </w:p>
    <w:p w14:paraId="182D818E">
      <w:pPr>
        <w:pStyle w:val="23"/>
        <w:rPr>
          <w:rFonts w:hint="eastAsia" w:ascii="宋体" w:hAnsi="宋体" w:eastAsia="宋体" w:cs="宋体"/>
        </w:rPr>
      </w:pPr>
      <w:r>
        <w:rPr>
          <w:rFonts w:hint="default" w:ascii="Times New Roman" w:hAnsi="Times New Roman" w:eastAsia="宋体" w:cs="Times New Roman"/>
        </w:rPr>
        <w:t>GB</w:t>
      </w:r>
      <w:r>
        <w:rPr>
          <w:rFonts w:hint="default" w:ascii="Times New Roman" w:hAnsi="Times New Roman" w:cs="Times New Roman"/>
          <w:lang w:val="en-US" w:eastAsia="zh-CN"/>
        </w:rPr>
        <w:t>/</w:t>
      </w:r>
      <w:r>
        <w:rPr>
          <w:rFonts w:hint="default" w:ascii="Times New Roman" w:hAnsi="Times New Roman" w:eastAsia="宋体" w:cs="Times New Roman"/>
        </w:rPr>
        <w:t>T 40664-2021</w:t>
      </w:r>
      <w:r>
        <w:rPr>
          <w:rFonts w:hint="eastAsia" w:ascii="宋体" w:hAnsi="宋体" w:eastAsia="宋体" w:cs="宋体"/>
        </w:rPr>
        <w:t xml:space="preserve"> 用于高通量测序的核酸类样本质量控制通用要求</w:t>
      </w:r>
    </w:p>
    <w:p w14:paraId="7CC69C1B">
      <w:pPr>
        <w:pStyle w:val="47"/>
        <w:spacing w:before="312" w:after="312"/>
        <w:rPr>
          <w:rFonts w:ascii="Times New Roman"/>
        </w:rPr>
      </w:pPr>
      <w:r>
        <w:rPr>
          <w:rFonts w:ascii="Times New Roman"/>
        </w:rPr>
        <w:t>术语和定义</w:t>
      </w:r>
      <w:bookmarkEnd w:id="19"/>
    </w:p>
    <w:p w14:paraId="729E3898">
      <w:pPr>
        <w:pStyle w:val="23"/>
        <w:rPr>
          <w:rFonts w:ascii="Times New Roman"/>
        </w:rPr>
      </w:pPr>
      <w:r>
        <w:rPr>
          <w:rFonts w:ascii="Times New Roman"/>
        </w:rPr>
        <w:t>下列术语和定义适用于本文件。</w:t>
      </w:r>
    </w:p>
    <w:p w14:paraId="19C988DF">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bookmarkStart w:id="20" w:name="_Toc160821109"/>
      <w:bookmarkEnd w:id="20"/>
      <w:r>
        <w:rPr>
          <w:rFonts w:hint="eastAsia" w:ascii="黑体" w:hAnsi="黑体" w:eastAsia="黑体" w:cs="黑体"/>
        </w:rPr>
        <w:t xml:space="preserve">3.1 </w:t>
      </w:r>
    </w:p>
    <w:p w14:paraId="334B8BF2">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细胞裂解 Cell lysis</w:t>
      </w:r>
    </w:p>
    <w:p w14:paraId="16338969">
      <w:pPr>
        <w:pStyle w:val="23"/>
        <w:rPr>
          <w:rFonts w:ascii="Times New Roman"/>
        </w:rPr>
      </w:pPr>
      <w:r>
        <w:rPr>
          <w:rFonts w:ascii="Times New Roman"/>
        </w:rPr>
        <w:t>指将细胞的结构破裂以释放其内部成分的过程。</w:t>
      </w:r>
    </w:p>
    <w:p w14:paraId="688FD2AB">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hint="eastAsia" w:ascii="黑体" w:hAnsi="黑体" w:eastAsia="黑体" w:cs="黑体"/>
        </w:rPr>
        <w:t xml:space="preserve">3.2 </w:t>
      </w:r>
    </w:p>
    <w:p w14:paraId="233B1E22">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引物 Primer</w:t>
      </w:r>
    </w:p>
    <w:p w14:paraId="08E318B4">
      <w:pPr>
        <w:pStyle w:val="23"/>
        <w:rPr>
          <w:rFonts w:ascii="Times New Roman"/>
        </w:rPr>
      </w:pPr>
      <w:r>
        <w:rPr>
          <w:rFonts w:ascii="Times New Roman"/>
        </w:rPr>
        <w:t>在DNA复制过程中，结合于模板链上并作为复制延伸的起始位点和/或终止位点的，具有一定长度和顺序的寡核苷酸链。</w:t>
      </w:r>
    </w:p>
    <w:p w14:paraId="653E3F72">
      <w:pPr>
        <w:pStyle w:val="23"/>
        <w:rPr>
          <w:rFonts w:ascii="Times New Roman"/>
        </w:rPr>
      </w:pPr>
      <w:r>
        <w:rPr>
          <w:rFonts w:hint="eastAsia" w:hAnsi="宋体" w:cs="宋体"/>
        </w:rPr>
        <w:t>[来源：</w:t>
      </w:r>
      <w:r>
        <w:rPr>
          <w:rFonts w:ascii="Times New Roman"/>
        </w:rPr>
        <w:t>GB/T 30989-2014</w:t>
      </w:r>
      <w:r>
        <w:rPr>
          <w:rFonts w:hint="eastAsia" w:hAnsi="宋体" w:cs="宋体"/>
        </w:rPr>
        <w:t>]</w:t>
      </w:r>
    </w:p>
    <w:p w14:paraId="7CBE6A12">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hint="eastAsia" w:ascii="黑体" w:hAnsi="黑体" w:eastAsia="黑体" w:cs="黑体"/>
        </w:rPr>
        <w:t xml:space="preserve">3.3 </w:t>
      </w:r>
    </w:p>
    <w:p w14:paraId="24B0D409">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酶切 Enzyme cutting</w:t>
      </w:r>
    </w:p>
    <w:p w14:paraId="1834EA99">
      <w:pPr>
        <w:pStyle w:val="23"/>
        <w:spacing w:before="0" w:beforeLines="-2147483648" w:after="0" w:afterLines="-2147483648"/>
        <w:ind w:firstLine="420" w:firstLineChars="200"/>
        <w:rPr>
          <w:rFonts w:hint="eastAsia" w:ascii="Times New Roman" w:hAnsi="Times New Roman" w:eastAsia="宋体" w:cs="Times New Roman"/>
          <w:lang w:eastAsia="zh-CN"/>
        </w:rPr>
      </w:pPr>
      <w:r>
        <w:rPr>
          <w:rFonts w:ascii="Times New Roman"/>
        </w:rPr>
        <w:t>用特定的限制性</w:t>
      </w:r>
      <w:r>
        <w:fldChar w:fldCharType="begin"/>
      </w:r>
      <w:r>
        <w:instrText xml:space="preserve"> HYPERLINK "https://baike.baidu.com/item/%E5%86%85%E5%88%87%E9%85%B6/10111698?fromModule=lemma_inlink" \t "https://baike.baidu.com/item/%E9%85%B6%E5%88%87%E6%8A%80%E6%9C%AF/_blank" </w:instrText>
      </w:r>
      <w:r>
        <w:fldChar w:fldCharType="separate"/>
      </w:r>
      <w:r>
        <w:rPr>
          <w:rFonts w:ascii="Times New Roman"/>
        </w:rPr>
        <w:t>内切酶</w:t>
      </w:r>
      <w:r>
        <w:rPr>
          <w:rFonts w:ascii="Times New Roman"/>
        </w:rPr>
        <w:fldChar w:fldCharType="end"/>
      </w:r>
      <w:r>
        <w:rPr>
          <w:rFonts w:ascii="Times New Roman"/>
        </w:rPr>
        <w:t>对</w:t>
      </w:r>
      <w:r>
        <w:fldChar w:fldCharType="begin"/>
      </w:r>
      <w:r>
        <w:instrText xml:space="preserve"> HYPERLINK "https://baike.baidu.com/item/DNA/98123?fromModule=lemma_inlink" \t "https://baike.baidu.com/item/%E9%85%B6%E5%88%87/_blank" </w:instrText>
      </w:r>
      <w:r>
        <w:fldChar w:fldCharType="separate"/>
      </w:r>
      <w:r>
        <w:rPr>
          <w:rFonts w:ascii="Times New Roman"/>
        </w:rPr>
        <w:t>DNA</w:t>
      </w:r>
      <w:r>
        <w:rPr>
          <w:rFonts w:ascii="Times New Roman"/>
        </w:rPr>
        <w:fldChar w:fldCharType="end"/>
      </w:r>
      <w:r>
        <w:rPr>
          <w:rFonts w:ascii="Times New Roman"/>
        </w:rPr>
        <w:t>分子或载体分子在特定的位置进行切割，以获得特定的粘/平末端用于后续的连接反应</w:t>
      </w:r>
      <w:r>
        <w:rPr>
          <w:rFonts w:hint="eastAsia" w:ascii="Times New Roman"/>
          <w:lang w:eastAsia="zh-CN"/>
        </w:rPr>
        <w:t>。</w:t>
      </w:r>
    </w:p>
    <w:p w14:paraId="2E97ED32">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hint="eastAsia" w:ascii="黑体" w:hAnsi="黑体" w:eastAsia="黑体" w:cs="黑体"/>
          <w:lang w:val="en-US" w:eastAsia="zh-CN"/>
        </w:rPr>
      </w:pPr>
      <w:r>
        <w:rPr>
          <w:rFonts w:hint="eastAsia" w:ascii="黑体" w:hAnsi="黑体" w:eastAsia="黑体" w:cs="黑体"/>
        </w:rPr>
        <w:t>3.</w:t>
      </w:r>
      <w:r>
        <w:rPr>
          <w:rFonts w:hint="eastAsia" w:ascii="黑体" w:hAnsi="黑体" w:eastAsia="黑体" w:cs="黑体"/>
          <w:lang w:val="en-US" w:eastAsia="zh-CN"/>
        </w:rPr>
        <w:t>4</w:t>
      </w:r>
    </w:p>
    <w:p w14:paraId="0D9FEFA7">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桥式PCR  Bridge polymerase chain reaction</w:t>
      </w:r>
    </w:p>
    <w:p w14:paraId="40645DC1">
      <w:pPr>
        <w:pStyle w:val="23"/>
        <w:rPr>
          <w:rFonts w:ascii="Times New Roman"/>
        </w:rPr>
      </w:pPr>
      <w:r>
        <w:rPr>
          <w:rFonts w:hint="eastAsia" w:ascii="Times New Roman"/>
        </w:rPr>
        <w:t>单链文库DNA一端序列与芯片表面固定的寡核苷酸特异性结合，当连接片段的另一端弯曲，与芯片表面固定的另一条互补寡核苷酸“形成桥”，以文库DNA为模板进行扩增的反应。</w:t>
      </w:r>
    </w:p>
    <w:p w14:paraId="3F7D93BB">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hint="eastAsia" w:ascii="黑体" w:hAnsi="黑体" w:eastAsia="黑体" w:cs="黑体"/>
        </w:rPr>
        <w:t>3.</w:t>
      </w:r>
      <w:r>
        <w:rPr>
          <w:rFonts w:hint="eastAsia" w:ascii="黑体" w:hAnsi="黑体" w:eastAsia="黑体" w:cs="黑体"/>
          <w:lang w:val="en-US" w:eastAsia="zh-CN"/>
        </w:rPr>
        <w:t>5</w:t>
      </w:r>
    </w:p>
    <w:p w14:paraId="6D2B0035">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二代测序 Next-generation sequencing</w:t>
      </w:r>
    </w:p>
    <w:p w14:paraId="038B82EB">
      <w:pPr>
        <w:pStyle w:val="23"/>
        <w:spacing w:before="156" w:beforeLines="50" w:after="156" w:afterLines="50"/>
        <w:rPr>
          <w:rFonts w:ascii="Times New Roman"/>
        </w:rPr>
      </w:pPr>
      <w:r>
        <w:rPr>
          <w:rFonts w:ascii="Times New Roman"/>
        </w:rPr>
        <w:t>区别于传统Sanger测序，能够一次并行对大量核酸分子进行平行序列测定的技术，通常一次测序反应能产出不低于100Mb的测序数据。</w:t>
      </w:r>
    </w:p>
    <w:p w14:paraId="30935F5E">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hint="eastAsia" w:ascii="黑体" w:hAnsi="黑体" w:eastAsia="黑体" w:cs="黑体"/>
          <w:lang w:eastAsia="zh-CN"/>
        </w:rPr>
      </w:pPr>
      <w:r>
        <w:rPr>
          <w:rFonts w:hint="eastAsia" w:ascii="黑体" w:hAnsi="黑体" w:eastAsia="黑体" w:cs="黑体"/>
        </w:rPr>
        <w:t>3.</w:t>
      </w:r>
      <w:r>
        <w:rPr>
          <w:rFonts w:hint="eastAsia" w:ascii="黑体" w:hAnsi="黑体" w:eastAsia="黑体" w:cs="黑体"/>
          <w:lang w:val="en-US" w:eastAsia="zh-CN"/>
        </w:rPr>
        <w:t>6</w:t>
      </w:r>
    </w:p>
    <w:p w14:paraId="10682AA6">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接头 Adapter</w:t>
      </w:r>
    </w:p>
    <w:p w14:paraId="363F5A27">
      <w:pPr>
        <w:pStyle w:val="23"/>
        <w:rPr>
          <w:rFonts w:ascii="Times New Roman"/>
        </w:rPr>
      </w:pPr>
      <w:r>
        <w:rPr>
          <w:rFonts w:ascii="Times New Roman"/>
        </w:rPr>
        <w:t>用于标记和固定待测序片段的一小段已知序列的DNA片段。</w:t>
      </w:r>
    </w:p>
    <w:p w14:paraId="1FE73F92">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hint="default" w:ascii="黑体" w:hAnsi="黑体" w:eastAsia="黑体" w:cs="黑体"/>
          <w:lang w:val="en-US" w:eastAsia="zh-CN"/>
        </w:rPr>
      </w:pPr>
      <w:r>
        <w:rPr>
          <w:rFonts w:hint="eastAsia" w:ascii="黑体" w:hAnsi="黑体" w:eastAsia="黑体" w:cs="黑体"/>
        </w:rPr>
        <w:t>3.</w:t>
      </w:r>
      <w:r>
        <w:rPr>
          <w:rFonts w:hint="eastAsia" w:ascii="黑体" w:hAnsi="黑体" w:eastAsia="黑体" w:cs="黑体"/>
          <w:lang w:val="en-US" w:eastAsia="zh-CN"/>
        </w:rPr>
        <w:t>7</w:t>
      </w:r>
    </w:p>
    <w:p w14:paraId="34DDD85A">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基因测序 Gene sequencing</w:t>
      </w:r>
    </w:p>
    <w:p w14:paraId="20E072DC">
      <w:pPr>
        <w:pStyle w:val="23"/>
        <w:rPr>
          <w:rFonts w:ascii="Times New Roman"/>
        </w:rPr>
      </w:pPr>
      <w:r>
        <w:rPr>
          <w:rFonts w:ascii="Times New Roman"/>
        </w:rPr>
        <w:t>对核酸分子的核苷酸排列顺序的测定，即测定组成核酸分子的腺嘌呤（A）、鸟嘌呤（G）、胞嘧啶（C）和胸腺嘧啶（T）或者是尿嘧啶（U）的排列顺序。</w:t>
      </w:r>
    </w:p>
    <w:p w14:paraId="2293B9CB">
      <w:pPr>
        <w:pStyle w:val="23"/>
        <w:rPr>
          <w:rFonts w:ascii="Times New Roman"/>
        </w:rPr>
      </w:pPr>
      <w:r>
        <w:rPr>
          <w:rFonts w:hint="eastAsia" w:ascii="Times New Roman"/>
        </w:rPr>
        <w:t>[来源：</w:t>
      </w:r>
      <w:r>
        <w:rPr>
          <w:rFonts w:ascii="Times New Roman"/>
        </w:rPr>
        <w:t>GB/T 30989-2014</w:t>
      </w:r>
      <w:r>
        <w:rPr>
          <w:rFonts w:hint="eastAsia" w:ascii="Times New Roman"/>
        </w:rPr>
        <w:t>]</w:t>
      </w:r>
    </w:p>
    <w:p w14:paraId="7617B3F9">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hint="eastAsia" w:ascii="黑体" w:hAnsi="黑体" w:eastAsia="黑体" w:cs="黑体"/>
        </w:rPr>
        <w:t>3.</w:t>
      </w:r>
      <w:r>
        <w:rPr>
          <w:rFonts w:hint="eastAsia" w:ascii="黑体" w:hAnsi="黑体" w:eastAsia="黑体" w:cs="黑体"/>
          <w:lang w:val="en-US" w:eastAsia="zh-CN"/>
        </w:rPr>
        <w:t>8</w:t>
      </w:r>
    </w:p>
    <w:p w14:paraId="5126E893">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基因 Gene</w:t>
      </w:r>
    </w:p>
    <w:p w14:paraId="3A845C41">
      <w:pPr>
        <w:pStyle w:val="23"/>
        <w:rPr>
          <w:rFonts w:ascii="Times New Roman"/>
        </w:rPr>
      </w:pPr>
      <w:r>
        <w:rPr>
          <w:rFonts w:ascii="Times New Roman"/>
        </w:rPr>
        <w:t>位于染色体上编码一个特定功能产物（如蛋白质或RNA分子）的一段核苷酸序列，是遗传信息的基本单位。</w:t>
      </w:r>
    </w:p>
    <w:p w14:paraId="1A9551F6">
      <w:pPr>
        <w:pStyle w:val="23"/>
        <w:rPr>
          <w:rFonts w:ascii="Times New Roman"/>
        </w:rPr>
      </w:pPr>
      <w:r>
        <w:rPr>
          <w:rFonts w:hint="eastAsia" w:hAnsi="宋体" w:cs="宋体"/>
        </w:rPr>
        <w:t>[来源：</w:t>
      </w:r>
      <w:r>
        <w:rPr>
          <w:rFonts w:ascii="Times New Roman"/>
        </w:rPr>
        <w:t>GB/T 30989-2014</w:t>
      </w:r>
      <w:r>
        <w:rPr>
          <w:rFonts w:hint="eastAsia" w:hAnsi="宋体" w:cs="宋体"/>
        </w:rPr>
        <w:t>]</w:t>
      </w:r>
    </w:p>
    <w:p w14:paraId="5C4B8E5E">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hint="eastAsia" w:ascii="黑体" w:hAnsi="黑体" w:eastAsia="黑体" w:cs="黑体"/>
        </w:rPr>
        <w:t>3.</w:t>
      </w:r>
      <w:r>
        <w:rPr>
          <w:rFonts w:hint="eastAsia" w:ascii="黑体" w:hAnsi="黑体" w:eastAsia="黑体" w:cs="黑体"/>
          <w:lang w:val="en-US" w:eastAsia="zh-CN"/>
        </w:rPr>
        <w:t>9</w:t>
      </w:r>
    </w:p>
    <w:p w14:paraId="73423938">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合成基因 Synthesized gene</w:t>
      </w:r>
    </w:p>
    <w:p w14:paraId="18134721">
      <w:pPr>
        <w:pStyle w:val="23"/>
        <w:rPr>
          <w:rFonts w:ascii="Times New Roman"/>
        </w:rPr>
      </w:pPr>
      <w:r>
        <w:rPr>
          <w:rFonts w:ascii="Times New Roman"/>
        </w:rPr>
        <w:t>用生物化学的方法，按照设定的核苷酸序列人工合成的双链DNA。</w:t>
      </w:r>
    </w:p>
    <w:p w14:paraId="51B2F5BB">
      <w:pPr>
        <w:pStyle w:val="23"/>
        <w:rPr>
          <w:rFonts w:ascii="Times New Roman"/>
        </w:rPr>
      </w:pPr>
      <w:r>
        <w:rPr>
          <w:rFonts w:hint="eastAsia" w:ascii="Times New Roman"/>
        </w:rPr>
        <w:t>[来源：</w:t>
      </w:r>
      <w:r>
        <w:rPr>
          <w:rFonts w:ascii="Times New Roman"/>
        </w:rPr>
        <w:t>GB/T</w:t>
      </w:r>
      <w:r>
        <w:rPr>
          <w:rFonts w:hint="eastAsia" w:ascii="Times New Roman"/>
        </w:rPr>
        <w:t xml:space="preserve"> </w:t>
      </w:r>
      <w:r>
        <w:rPr>
          <w:rFonts w:ascii="Times New Roman"/>
        </w:rPr>
        <w:t>37873-2019</w:t>
      </w:r>
      <w:r>
        <w:rPr>
          <w:rFonts w:hint="eastAsia" w:ascii="Times New Roman"/>
        </w:rPr>
        <w:t>]</w:t>
      </w:r>
    </w:p>
    <w:p w14:paraId="20EBDD11">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hint="default" w:ascii="黑体" w:hAnsi="黑体" w:eastAsia="黑体" w:cs="黑体"/>
          <w:lang w:val="en-US"/>
        </w:rPr>
      </w:pPr>
      <w:r>
        <w:rPr>
          <w:rFonts w:ascii="黑体" w:hAnsi="黑体" w:eastAsia="黑体" w:cs="黑体"/>
        </w:rPr>
        <w:t>3.</w:t>
      </w:r>
      <w:r>
        <w:rPr>
          <w:rFonts w:hint="eastAsia" w:ascii="黑体" w:hAnsi="黑体" w:eastAsia="黑体" w:cs="黑体"/>
          <w:lang w:val="en-US" w:eastAsia="zh-CN"/>
        </w:rPr>
        <w:t>10</w:t>
      </w:r>
    </w:p>
    <w:p w14:paraId="0597B31E">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hint="eastAsia" w:ascii="黑体" w:hAnsi="黑体" w:eastAsia="黑体" w:cs="黑体"/>
        </w:rPr>
        <w:t>文库</w:t>
      </w:r>
      <w:r>
        <w:rPr>
          <w:rFonts w:ascii="黑体" w:hAnsi="黑体" w:eastAsia="黑体" w:cs="黑体"/>
        </w:rPr>
        <w:t xml:space="preserve"> </w:t>
      </w:r>
      <w:r>
        <w:rPr>
          <w:rFonts w:hint="eastAsia" w:ascii="黑体" w:hAnsi="黑体" w:eastAsia="黑体" w:cs="黑体"/>
        </w:rPr>
        <w:t>Library</w:t>
      </w:r>
    </w:p>
    <w:p w14:paraId="0D5B272C">
      <w:pPr>
        <w:pStyle w:val="23"/>
        <w:rPr>
          <w:rFonts w:ascii="Times New Roman"/>
        </w:rPr>
      </w:pPr>
      <w:r>
        <w:rPr>
          <w:rFonts w:hint="eastAsia" w:ascii="Times New Roman"/>
        </w:rPr>
        <w:t>通过生物来源的、人工合成的或克隆技术所得到的一个重建分子群。例如基因组文库、互补DNA文库、噬菌体展示肽文库等。</w:t>
      </w:r>
    </w:p>
    <w:p w14:paraId="737B6A94">
      <w:pPr>
        <w:pStyle w:val="23"/>
        <w:rPr>
          <w:rFonts w:ascii="Times New Roman"/>
        </w:rPr>
      </w:pPr>
      <w:r>
        <w:rPr>
          <w:rFonts w:hint="eastAsia" w:ascii="Times New Roman"/>
        </w:rPr>
        <w:t>[来源：GB/T 43636]</w:t>
      </w:r>
    </w:p>
    <w:p w14:paraId="38B261C6">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0" w:firstLineChars="0"/>
        <w:textAlignment w:val="auto"/>
        <w:rPr>
          <w:rFonts w:ascii="黑体" w:hAnsi="黑体" w:eastAsia="黑体" w:cs="黑体"/>
        </w:rPr>
      </w:pPr>
      <w:r>
        <w:rPr>
          <w:rFonts w:ascii="黑体" w:hAnsi="黑体" w:eastAsia="黑体" w:cs="黑体"/>
        </w:rPr>
        <w:t>3.</w:t>
      </w:r>
      <w:r>
        <w:rPr>
          <w:rFonts w:hint="eastAsia" w:ascii="黑体" w:hAnsi="黑体" w:eastAsia="黑体" w:cs="黑体"/>
          <w:lang w:val="en-US" w:eastAsia="zh-CN"/>
        </w:rPr>
        <w:t>11</w:t>
      </w:r>
    </w:p>
    <w:p w14:paraId="77569373">
      <w:pPr>
        <w:pStyle w:val="23"/>
        <w:keepNext w:val="0"/>
        <w:keepLines w:val="0"/>
        <w:pageBreakBefore w:val="0"/>
        <w:widowControl/>
        <w:kinsoku/>
        <w:wordWrap/>
        <w:overflowPunct/>
        <w:topLinePunct w:val="0"/>
        <w:autoSpaceDE w:val="0"/>
        <w:autoSpaceDN w:val="0"/>
        <w:bidi w:val="0"/>
        <w:adjustRightInd/>
        <w:snapToGrid/>
        <w:spacing w:before="157" w:beforeLines="50" w:after="157" w:afterLines="50"/>
        <w:ind w:firstLine="420" w:firstLineChars="200"/>
        <w:textAlignment w:val="auto"/>
        <w:rPr>
          <w:rFonts w:hint="eastAsia" w:ascii="黑体" w:hAnsi="黑体" w:eastAsia="黑体" w:cs="黑体"/>
        </w:rPr>
      </w:pPr>
      <w:r>
        <w:rPr>
          <w:rFonts w:ascii="黑体" w:hAnsi="黑体" w:eastAsia="黑体" w:cs="黑体"/>
        </w:rPr>
        <w:t xml:space="preserve">寡核苷酸 </w:t>
      </w:r>
      <w:r>
        <w:rPr>
          <w:rFonts w:hint="eastAsia" w:ascii="黑体" w:hAnsi="黑体" w:eastAsia="黑体" w:cs="黑体"/>
        </w:rPr>
        <w:t>O</w:t>
      </w:r>
      <w:r>
        <w:rPr>
          <w:rFonts w:ascii="黑体" w:hAnsi="黑体" w:eastAsia="黑体" w:cs="黑体"/>
        </w:rPr>
        <w:t>ligonucleotide</w:t>
      </w:r>
    </w:p>
    <w:p w14:paraId="5AB10385">
      <w:pPr>
        <w:pStyle w:val="23"/>
        <w:rPr>
          <w:rFonts w:ascii="Times New Roman"/>
        </w:rPr>
      </w:pPr>
      <w:r>
        <w:rPr>
          <w:rFonts w:ascii="Times New Roman"/>
        </w:rPr>
        <w:t>一类短链核苷酸的总称，常用作探针确定DNA或RNA的序列。</w:t>
      </w:r>
    </w:p>
    <w:p w14:paraId="58E19553">
      <w:pPr>
        <w:pStyle w:val="23"/>
        <w:rPr>
          <w:rFonts w:ascii="Times New Roman"/>
        </w:rPr>
      </w:pPr>
      <w:r>
        <w:rPr>
          <w:rFonts w:hint="eastAsia" w:ascii="Times New Roman"/>
        </w:rPr>
        <w:t>[来源：</w:t>
      </w:r>
      <w:r>
        <w:rPr>
          <w:rFonts w:ascii="Times New Roman"/>
        </w:rPr>
        <w:t>GB/T 30989-2014</w:t>
      </w:r>
      <w:r>
        <w:rPr>
          <w:rFonts w:hint="eastAsia" w:ascii="Times New Roman"/>
        </w:rPr>
        <w:t>]</w:t>
      </w:r>
    </w:p>
    <w:p w14:paraId="7CF45DC2">
      <w:pPr>
        <w:pStyle w:val="47"/>
        <w:spacing w:before="312" w:after="312"/>
        <w:rPr>
          <w:rFonts w:ascii="Times New Roman"/>
        </w:rPr>
      </w:pPr>
      <w:r>
        <w:rPr>
          <w:rFonts w:ascii="Times New Roman"/>
        </w:rPr>
        <w:t>缩略语</w:t>
      </w:r>
    </w:p>
    <w:p w14:paraId="683DC323">
      <w:pPr>
        <w:pStyle w:val="23"/>
        <w:rPr>
          <w:rFonts w:hint="eastAsia" w:ascii="Times New Roman" w:eastAsia="宋体"/>
          <w:lang w:eastAsia="zh-CN"/>
        </w:rPr>
      </w:pPr>
      <w:r>
        <w:rPr>
          <w:rFonts w:ascii="Times New Roman"/>
        </w:rPr>
        <w:t>下列缩略词适用于本文件</w:t>
      </w:r>
      <w:r>
        <w:rPr>
          <w:rFonts w:hint="eastAsia" w:ascii="Times New Roman"/>
          <w:lang w:eastAsia="zh-CN"/>
        </w:rPr>
        <w:t>。</w:t>
      </w:r>
    </w:p>
    <w:p w14:paraId="4BCB6B66">
      <w:pPr>
        <w:ind w:left="420" w:leftChars="200" w:firstLine="0" w:firstLineChars="0"/>
        <w:rPr>
          <w:kern w:val="0"/>
          <w:szCs w:val="20"/>
        </w:rPr>
      </w:pPr>
      <w:r>
        <w:rPr>
          <w:kern w:val="0"/>
          <w:szCs w:val="20"/>
        </w:rPr>
        <w:t>ddNTP  双脱氧核苷核苷三磷酸（</w:t>
      </w:r>
      <w:r>
        <w:rPr>
          <w:rFonts w:hint="eastAsia"/>
          <w:kern w:val="0"/>
          <w:szCs w:val="20"/>
        </w:rPr>
        <w:t>D</w:t>
      </w:r>
      <w:r>
        <w:rPr>
          <w:kern w:val="0"/>
          <w:szCs w:val="20"/>
        </w:rPr>
        <w:t xml:space="preserve">ouble </w:t>
      </w:r>
      <w:r>
        <w:rPr>
          <w:rFonts w:hint="eastAsia"/>
          <w:kern w:val="0"/>
          <w:szCs w:val="20"/>
        </w:rPr>
        <w:t>D</w:t>
      </w:r>
      <w:r>
        <w:rPr>
          <w:kern w:val="0"/>
          <w:szCs w:val="20"/>
        </w:rPr>
        <w:t xml:space="preserve">eoxy-ribonucleoside </w:t>
      </w:r>
      <w:r>
        <w:rPr>
          <w:rFonts w:hint="eastAsia"/>
          <w:kern w:val="0"/>
          <w:szCs w:val="20"/>
        </w:rPr>
        <w:t>T</w:t>
      </w:r>
      <w:r>
        <w:rPr>
          <w:kern w:val="0"/>
          <w:szCs w:val="20"/>
        </w:rPr>
        <w:t>riphosphate）</w:t>
      </w:r>
      <w:r>
        <w:rPr>
          <w:kern w:val="0"/>
          <w:szCs w:val="20"/>
        </w:rPr>
        <w:br w:type="textWrapping"/>
      </w:r>
      <w:r>
        <w:rPr>
          <w:kern w:val="0"/>
          <w:szCs w:val="20"/>
        </w:rPr>
        <w:t>DNA   脱氧核糖核酸（</w:t>
      </w:r>
      <w:r>
        <w:rPr>
          <w:rFonts w:hint="eastAsia"/>
          <w:kern w:val="0"/>
          <w:szCs w:val="20"/>
        </w:rPr>
        <w:t>D</w:t>
      </w:r>
      <w:r>
        <w:rPr>
          <w:kern w:val="0"/>
          <w:szCs w:val="20"/>
        </w:rPr>
        <w:t xml:space="preserve">eoxyribonucleic </w:t>
      </w:r>
      <w:r>
        <w:rPr>
          <w:rFonts w:hint="eastAsia"/>
          <w:kern w:val="0"/>
          <w:szCs w:val="20"/>
        </w:rPr>
        <w:t>A</w:t>
      </w:r>
      <w:r>
        <w:rPr>
          <w:kern w:val="0"/>
          <w:szCs w:val="20"/>
        </w:rPr>
        <w:t>cid）</w:t>
      </w:r>
    </w:p>
    <w:p w14:paraId="40DE28E1">
      <w:pPr>
        <w:pStyle w:val="2"/>
        <w:rPr>
          <w:color w:val="auto"/>
        </w:rPr>
      </w:pPr>
      <w:r>
        <w:rPr>
          <w:color w:val="auto"/>
          <w:kern w:val="0"/>
          <w:szCs w:val="20"/>
        </w:rPr>
        <w:t xml:space="preserve">    dNTP   脱氧核糖核苷三磷酸（</w:t>
      </w:r>
      <w:r>
        <w:rPr>
          <w:rFonts w:hint="eastAsia"/>
          <w:color w:val="auto"/>
          <w:kern w:val="0"/>
          <w:szCs w:val="20"/>
        </w:rPr>
        <w:t>D</w:t>
      </w:r>
      <w:r>
        <w:rPr>
          <w:color w:val="auto"/>
          <w:kern w:val="0"/>
          <w:szCs w:val="20"/>
        </w:rPr>
        <w:t xml:space="preserve">eoxy-ribonucleoside </w:t>
      </w:r>
      <w:r>
        <w:rPr>
          <w:rFonts w:hint="eastAsia"/>
          <w:color w:val="auto"/>
          <w:kern w:val="0"/>
          <w:szCs w:val="20"/>
        </w:rPr>
        <w:t>T</w:t>
      </w:r>
      <w:r>
        <w:rPr>
          <w:color w:val="auto"/>
          <w:kern w:val="0"/>
          <w:szCs w:val="20"/>
        </w:rPr>
        <w:t>riphosphate）</w:t>
      </w:r>
    </w:p>
    <w:p w14:paraId="4842B38C">
      <w:pPr>
        <w:ind w:firstLine="420" w:firstLineChars="200"/>
        <w:rPr>
          <w:kern w:val="0"/>
          <w:szCs w:val="20"/>
        </w:rPr>
      </w:pPr>
      <w:r>
        <w:rPr>
          <w:kern w:val="0"/>
          <w:szCs w:val="20"/>
        </w:rPr>
        <w:t>HPLC   高效液相色谱仪（High Performance Liquid Chromatography）</w:t>
      </w:r>
    </w:p>
    <w:p w14:paraId="01B8921B">
      <w:pPr>
        <w:ind w:firstLine="420" w:firstLineChars="200"/>
      </w:pPr>
      <w:r>
        <w:rPr>
          <w:rFonts w:hint="eastAsia"/>
          <w:color w:val="auto"/>
          <w:kern w:val="0"/>
          <w:szCs w:val="20"/>
        </w:rPr>
        <w:t>NGS    二代测序（Next Generation Sequencing）</w:t>
      </w:r>
    </w:p>
    <w:p w14:paraId="7AB20B10">
      <w:pPr>
        <w:ind w:firstLine="420" w:firstLineChars="200"/>
        <w:rPr>
          <w:kern w:val="0"/>
          <w:szCs w:val="20"/>
        </w:rPr>
      </w:pPr>
      <w:r>
        <w:rPr>
          <w:kern w:val="0"/>
          <w:szCs w:val="20"/>
        </w:rPr>
        <w:t>OPC    寡核苷酸纯化柱（</w:t>
      </w:r>
      <w:r>
        <w:rPr>
          <w:rFonts w:hint="eastAsia"/>
          <w:kern w:val="0"/>
          <w:szCs w:val="20"/>
        </w:rPr>
        <w:t>O</w:t>
      </w:r>
      <w:r>
        <w:rPr>
          <w:kern w:val="0"/>
          <w:szCs w:val="20"/>
        </w:rPr>
        <w:t xml:space="preserve">ligonucleotide </w:t>
      </w:r>
      <w:r>
        <w:rPr>
          <w:rFonts w:hint="eastAsia"/>
          <w:kern w:val="0"/>
          <w:szCs w:val="20"/>
        </w:rPr>
        <w:t>P</w:t>
      </w:r>
      <w:r>
        <w:rPr>
          <w:kern w:val="0"/>
          <w:szCs w:val="20"/>
        </w:rPr>
        <w:t xml:space="preserve">urification </w:t>
      </w:r>
      <w:r>
        <w:rPr>
          <w:rFonts w:hint="eastAsia"/>
          <w:kern w:val="0"/>
          <w:szCs w:val="20"/>
        </w:rPr>
        <w:t>C</w:t>
      </w:r>
      <w:r>
        <w:rPr>
          <w:kern w:val="0"/>
          <w:szCs w:val="20"/>
        </w:rPr>
        <w:t>artridge）</w:t>
      </w:r>
    </w:p>
    <w:p w14:paraId="712B8FC4">
      <w:pPr>
        <w:ind w:firstLine="420" w:firstLineChars="200"/>
        <w:rPr>
          <w:kern w:val="0"/>
          <w:szCs w:val="20"/>
        </w:rPr>
      </w:pPr>
      <w:r>
        <w:rPr>
          <w:kern w:val="0"/>
          <w:szCs w:val="20"/>
        </w:rPr>
        <w:t>PCR    聚合酶链式反应（Polymerase Chain Reaction）</w:t>
      </w:r>
    </w:p>
    <w:p w14:paraId="513AFE33">
      <w:pPr>
        <w:ind w:firstLine="420" w:firstLineChars="200"/>
      </w:pPr>
      <w:r>
        <w:rPr>
          <w:kern w:val="0"/>
          <w:szCs w:val="20"/>
        </w:rPr>
        <w:t>RNA    核糖核酸（Ribonucleic</w:t>
      </w:r>
      <w:r>
        <w:rPr>
          <w:rFonts w:hint="eastAsia"/>
          <w:kern w:val="0"/>
          <w:szCs w:val="20"/>
        </w:rPr>
        <w:t xml:space="preserve"> </w:t>
      </w:r>
      <w:r>
        <w:rPr>
          <w:kern w:val="0"/>
          <w:szCs w:val="20"/>
        </w:rPr>
        <w:t>Acid）</w:t>
      </w:r>
    </w:p>
    <w:p w14:paraId="4804DDF2">
      <w:pPr>
        <w:pStyle w:val="47"/>
        <w:spacing w:before="312" w:after="312"/>
      </w:pPr>
      <w:r>
        <w:t>总则</w:t>
      </w:r>
    </w:p>
    <w:p w14:paraId="4BDFFBA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 xml:space="preserve">5.1 </w:t>
      </w:r>
      <w:r>
        <w:rPr>
          <w:rFonts w:hint="eastAsia" w:ascii="黑体" w:hAnsi="黑体" w:eastAsia="黑体" w:cs="黑体"/>
          <w:lang w:val="en-US" w:eastAsia="zh-CN"/>
        </w:rPr>
        <w:t xml:space="preserve"> </w:t>
      </w:r>
      <w:r>
        <w:rPr>
          <w:rFonts w:hint="eastAsia" w:ascii="黑体" w:hAnsi="黑体" w:eastAsia="黑体" w:cs="黑体"/>
        </w:rPr>
        <w:t>Sanger测序</w:t>
      </w:r>
    </w:p>
    <w:p w14:paraId="7AC13997">
      <w:pPr>
        <w:pStyle w:val="23"/>
        <w:ind w:firstLine="0" w:firstLineChars="0"/>
        <w:rPr>
          <w:rFonts w:hint="eastAsia" w:asciiTheme="majorEastAsia" w:hAnsiTheme="majorEastAsia" w:eastAsiaTheme="majorEastAsia" w:cstheme="majorEastAsia"/>
        </w:rPr>
      </w:pPr>
      <w:r>
        <w:rPr>
          <w:rFonts w:ascii="Times New Roman"/>
        </w:rPr>
        <w:t xml:space="preserve">    </w:t>
      </w:r>
      <w:r>
        <w:rPr>
          <w:rFonts w:hint="eastAsia" w:asciiTheme="majorEastAsia" w:hAnsiTheme="majorEastAsia" w:eastAsiaTheme="majorEastAsia" w:cstheme="majorEastAsia"/>
        </w:rPr>
        <w:t>首先利用测序样品通过测序PCR反应获得待测序产物，然后对待测序产物进行纯化与变性后，将变性产物上样至基因测序仪中电泳，获得电泳图谱，经基因测序仪配套的数据分析系统对图谱进行分析后，获得所测序列信息，并形成碱基序列输出。</w:t>
      </w:r>
    </w:p>
    <w:p w14:paraId="6CC22DC6">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5.2   二代测序</w:t>
      </w:r>
    </w:p>
    <w:p w14:paraId="6596DDFC">
      <w:pPr>
        <w:pStyle w:val="23"/>
        <w:spacing w:before="0" w:beforeLines="-2147483648" w:after="0" w:afterLines="-2147483648"/>
        <w:ind w:firstLine="0" w:firstLineChars="0"/>
        <w:rPr>
          <w:rFonts w:hint="eastAsia" w:ascii="Times New Roman" w:eastAsia="宋体"/>
          <w:lang w:eastAsia="zh-CN"/>
        </w:rPr>
      </w:pPr>
      <w:r>
        <w:rPr>
          <w:rFonts w:hint="eastAsia" w:ascii="黑体" w:hAnsi="黑体" w:eastAsia="黑体" w:cs="黑体"/>
        </w:rPr>
        <w:t xml:space="preserve">5.2.1 </w:t>
      </w:r>
      <w:r>
        <w:rPr>
          <w:rFonts w:ascii="Times New Roman"/>
        </w:rPr>
        <w:t>形成测序文库：将生物样本处理形成待测样品，对待测序的核酸片段两端连上接头，通过测序扩增反应，形成测序核酸样品的测序文库</w:t>
      </w:r>
      <w:r>
        <w:rPr>
          <w:rFonts w:hint="eastAsia" w:ascii="Times New Roman"/>
          <w:lang w:eastAsia="zh-CN"/>
        </w:rPr>
        <w:t>。</w:t>
      </w:r>
    </w:p>
    <w:p w14:paraId="6DEADA43">
      <w:pPr>
        <w:pStyle w:val="23"/>
        <w:spacing w:before="0" w:beforeLines="-2147483648" w:after="0" w:afterLines="-2147483648"/>
        <w:ind w:firstLine="0" w:firstLineChars="0"/>
        <w:rPr>
          <w:rFonts w:hint="eastAsia" w:ascii="Times New Roman" w:eastAsia="宋体"/>
          <w:lang w:eastAsia="zh-CN"/>
        </w:rPr>
      </w:pPr>
      <w:r>
        <w:rPr>
          <w:rFonts w:ascii="黑体" w:hAnsi="黑体" w:eastAsia="黑体" w:cs="黑体"/>
        </w:rPr>
        <w:t xml:space="preserve">5.2.2 </w:t>
      </w:r>
      <w:r>
        <w:rPr>
          <w:rFonts w:ascii="Times New Roman"/>
        </w:rPr>
        <w:t>进行测序反应，同步收集测序信号：加入底物核苷酸，在测序酶的作用下使底物核苷酸与测序文库中的待测样品进行结合，同时收集该过程中产生的信号，包括但不限于荧光信号、电信号或离子信号</w:t>
      </w:r>
      <w:r>
        <w:rPr>
          <w:rFonts w:hint="eastAsia" w:ascii="Times New Roman"/>
          <w:lang w:eastAsia="zh-CN"/>
        </w:rPr>
        <w:t>。</w:t>
      </w:r>
    </w:p>
    <w:p w14:paraId="2EF320A3">
      <w:pPr>
        <w:pStyle w:val="23"/>
        <w:spacing w:before="0" w:beforeLines="-2147483648" w:after="0" w:afterLines="-2147483648"/>
        <w:ind w:firstLine="0" w:firstLineChars="0"/>
        <w:rPr>
          <w:rFonts w:ascii="Times New Roman"/>
        </w:rPr>
      </w:pPr>
      <w:r>
        <w:rPr>
          <w:rFonts w:ascii="黑体" w:hAnsi="黑体" w:eastAsia="黑体" w:cs="黑体"/>
        </w:rPr>
        <w:t>5.2.3</w:t>
      </w:r>
      <w:r>
        <w:rPr>
          <w:rFonts w:ascii="Times New Roman"/>
        </w:rPr>
        <w:t xml:space="preserve"> 测序信号分析：对得到的测序信号进行处理分析，将信号图转变为核苷酸碱基序列信息。</w:t>
      </w:r>
    </w:p>
    <w:p w14:paraId="116A0DD4">
      <w:pPr>
        <w:pStyle w:val="23"/>
        <w:spacing w:before="156" w:beforeLines="50" w:after="156" w:afterLines="50"/>
        <w:ind w:firstLine="0" w:firstLineChars="0"/>
        <w:rPr>
          <w:rFonts w:hint="eastAsia" w:ascii="黑体" w:hAnsi="黑体" w:eastAsia="黑体" w:cs="黑体"/>
        </w:rPr>
      </w:pPr>
      <w:r>
        <w:rPr>
          <w:rFonts w:ascii="黑体" w:hAnsi="黑体" w:eastAsia="黑体" w:cs="黑体"/>
        </w:rPr>
        <w:t>5.3</w:t>
      </w:r>
      <w:r>
        <w:rPr>
          <w:rFonts w:hint="eastAsia" w:ascii="黑体" w:hAnsi="黑体" w:eastAsia="黑体" w:cs="黑体"/>
          <w:lang w:val="en-US" w:eastAsia="zh-CN"/>
        </w:rPr>
        <w:t xml:space="preserve">  </w:t>
      </w:r>
      <w:r>
        <w:rPr>
          <w:rFonts w:ascii="黑体" w:hAnsi="黑体" w:eastAsia="黑体" w:cs="黑体"/>
        </w:rPr>
        <w:t>基因合成</w:t>
      </w:r>
    </w:p>
    <w:p w14:paraId="4EB5CC7E">
      <w:pPr>
        <w:pStyle w:val="23"/>
        <w:ind w:firstLine="0" w:firstLineChars="0"/>
        <w:rPr>
          <w:rFonts w:ascii="Times New Roman"/>
        </w:rPr>
      </w:pPr>
      <w:r>
        <w:rPr>
          <w:rFonts w:ascii="Times New Roman"/>
        </w:rPr>
        <w:t xml:space="preserve">   合成基因的DNA序列，在符合国际基因合成联盟（IGSC）生物安全要求条件下，其质量要求，包括DNA纯度、总量、完整性与序列一致性。合成的基因应符合GB/T 37873-2019的质量评价要求。</w:t>
      </w:r>
    </w:p>
    <w:p w14:paraId="2ED88B7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5.4  实验人员操作要求</w:t>
      </w:r>
    </w:p>
    <w:p w14:paraId="431ECF25">
      <w:pPr>
        <w:pStyle w:val="23"/>
        <w:rPr>
          <w:rFonts w:ascii="Times New Roman"/>
        </w:rPr>
      </w:pPr>
      <w:r>
        <w:rPr>
          <w:rFonts w:ascii="Times New Roman"/>
        </w:rPr>
        <w:t>实验室的人员应按照GB/T 27025-2019的要求，实验操作人员应具备良好的分子生物学专业技术操作规范。</w:t>
      </w:r>
    </w:p>
    <w:p w14:paraId="533BBDB2">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5.5  仪器设备要求</w:t>
      </w:r>
    </w:p>
    <w:p w14:paraId="51D58395">
      <w:pPr>
        <w:pStyle w:val="23"/>
        <w:rPr>
          <w:rFonts w:ascii="Times New Roman"/>
        </w:rPr>
      </w:pPr>
      <w:r>
        <w:rPr>
          <w:rFonts w:ascii="Times New Roman"/>
        </w:rPr>
        <w:t>各实验区域应有专用的仪器设备，同一区域内的仪器设备、物品和工作服应有明显标记，避免与其他区域的物品混用。仪器设备的校准应符合GB/T 27025-2019的规定</w:t>
      </w:r>
      <w:r>
        <w:rPr>
          <w:rFonts w:hint="eastAsia" w:ascii="Times New Roman"/>
        </w:rPr>
        <w:t>，主要仪器设备参见附录A。</w:t>
      </w:r>
    </w:p>
    <w:p w14:paraId="289F4AEF">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5.6  其他要求</w:t>
      </w:r>
    </w:p>
    <w:p w14:paraId="7ECB1E8E">
      <w:pPr>
        <w:pStyle w:val="23"/>
        <w:spacing w:before="156" w:beforeLines="50" w:after="156" w:afterLines="50"/>
        <w:rPr>
          <w:rFonts w:hint="eastAsia" w:ascii="Times New Roman"/>
          <w:lang w:eastAsia="zh-CN"/>
        </w:rPr>
      </w:pPr>
      <w:r>
        <w:rPr>
          <w:rFonts w:ascii="Times New Roman"/>
        </w:rPr>
        <w:t>所有实验使用的试剂等级应为不含DNA和DNase的分析纯或生化试剂。试剂的选购、验收、贮存应符合GB/T 27025-2019规定。实验用水应符合GB/T 6682-2008中一级水的规格。去离子水的电阻应达到18.2mΩ。商品试剂盒应注明到货日期，对所收到的试剂盒应按规定的贮存条件存放</w:t>
      </w:r>
      <w:r>
        <w:rPr>
          <w:rFonts w:hint="eastAsia" w:ascii="Times New Roman"/>
          <w:lang w:eastAsia="zh-CN"/>
        </w:rPr>
        <w:t>，主要试剂及溶液参见附录B。</w:t>
      </w:r>
    </w:p>
    <w:p w14:paraId="6E9F548F">
      <w:pPr>
        <w:pStyle w:val="47"/>
        <w:spacing w:before="312" w:after="312"/>
        <w:rPr>
          <w:rFonts w:ascii="Times New Roman"/>
        </w:rPr>
      </w:pPr>
      <w:r>
        <w:rPr>
          <w:rFonts w:ascii="Times New Roman"/>
        </w:rPr>
        <w:t>原理</w:t>
      </w:r>
    </w:p>
    <w:p w14:paraId="75920F53">
      <w:pPr>
        <w:pStyle w:val="44"/>
        <w:spacing w:before="156" w:after="156"/>
        <w:ind w:left="0"/>
        <w:rPr>
          <w:rFonts w:ascii="Times New Roman"/>
        </w:rPr>
      </w:pPr>
      <w:r>
        <w:rPr>
          <w:rFonts w:ascii="Times New Roman"/>
        </w:rPr>
        <w:t>碱基互补配对原理</w:t>
      </w:r>
    </w:p>
    <w:p w14:paraId="77726F5D">
      <w:pPr>
        <w:pStyle w:val="23"/>
        <w:rPr>
          <w:rFonts w:ascii="Times New Roman"/>
        </w:rPr>
      </w:pPr>
      <w:r>
        <w:rPr>
          <w:rFonts w:ascii="Times New Roman"/>
        </w:rPr>
        <w:t>在DNA分子结构中，碱基之间的氢键具有固定的数目，且DNA两条链之间的距离保持不变。DNA分子结构的4种碱基之间的配对遵循一定的规律，即A仅与T配对，G仅与C配对，反之亦然。腺嘌呤与胸腺嘧啶之间有两个氢键，鸟嘌呤与胞嘧啶之间有三个氢键，即A=T、G≡C。根据碱基互补配对的原则，一条链上的A的数量等于互补链上的T的数量；一条链上的G的数量等于互补链上的C的数量，反之亦然。</w:t>
      </w:r>
    </w:p>
    <w:p w14:paraId="5C52B207">
      <w:pPr>
        <w:pStyle w:val="44"/>
        <w:bidi w:val="0"/>
        <w:ind w:left="0" w:leftChars="0" w:firstLine="0" w:firstLineChars="0"/>
        <w:rPr>
          <w:rFonts w:hint="eastAsia"/>
        </w:rPr>
      </w:pPr>
      <w:r>
        <w:rPr>
          <w:rFonts w:hint="eastAsia"/>
        </w:rPr>
        <w:t>亚磷酰胺三酯法原理</w:t>
      </w:r>
    </w:p>
    <w:p w14:paraId="5B7F5907">
      <w:pPr>
        <w:pStyle w:val="23"/>
        <w:rPr>
          <w:rFonts w:hint="eastAsia" w:ascii="Times New Roman"/>
        </w:rPr>
      </w:pPr>
      <w:r>
        <w:rPr>
          <w:rFonts w:hint="eastAsia" w:ascii="Times New Roman"/>
        </w:rPr>
        <w:t>亚磷酰胺三酯法合成DNA片段，具有高效、快速的偶联以及起始反应物比较稳定的特点。亚磷酰胺三酯法是将DNA固定在固相载体上完成DNA链的合成，合成的方向是由待合成引物的3'端向5'端合成，相邻的核苷酸通过3'→5'磷酸二酯键连接。具体流程见附录C.1。</w:t>
      </w:r>
    </w:p>
    <w:p w14:paraId="617D7DB6">
      <w:pPr>
        <w:pStyle w:val="44"/>
        <w:bidi w:val="0"/>
        <w:ind w:left="0" w:leftChars="0" w:firstLine="0" w:firstLineChars="0"/>
        <w:rPr>
          <w:rFonts w:hint="eastAsia"/>
        </w:rPr>
      </w:pPr>
      <w:r>
        <w:rPr>
          <w:rFonts w:hint="eastAsia"/>
        </w:rPr>
        <w:t>Sanger法测序原理</w:t>
      </w:r>
    </w:p>
    <w:p w14:paraId="4933B632">
      <w:pPr>
        <w:pStyle w:val="2"/>
        <w:ind w:firstLine="420" w:firstLineChars="200"/>
        <w:jc w:val="left"/>
        <w:rPr>
          <w:rFonts w:hint="default" w:eastAsia="宋体"/>
          <w:lang w:val="en-US" w:eastAsia="zh-CN"/>
        </w:rPr>
      </w:pPr>
      <w:r>
        <w:rPr>
          <w:color w:val="auto"/>
          <w:kern w:val="0"/>
          <w:szCs w:val="20"/>
        </w:rPr>
        <w:t>每一轮序列测定由一套四个单独的反应构成，每个反应含有所有的四种dNTP，并混入少量一种ddNTP。由于ddNTP缺乏延伸所需要的3′-OH基团，在DNA合成反应中不能形成磷酸二酯键，用来中端DNA合成反应，使延长的寡聚核苷酸选择性地在G、A、T或C处终止。在4个DNA合成反应体系中分别加入一定比例的带有荧光同位素标记的某种ddNTP，通过凝胶电泳和放射自显影，就可以根据电泳带的位置确定待测分子的DNA序列。</w:t>
      </w:r>
      <w:r>
        <w:rPr>
          <w:rFonts w:hint="eastAsia"/>
          <w:color w:val="auto"/>
          <w:kern w:val="0"/>
          <w:szCs w:val="20"/>
          <w:lang w:val="en-US" w:eastAsia="zh-CN"/>
        </w:rPr>
        <w:t>具体流程见附录C.2。</w:t>
      </w:r>
    </w:p>
    <w:p w14:paraId="0DA4C372">
      <w:pPr>
        <w:pStyle w:val="44"/>
        <w:spacing w:before="156" w:after="156"/>
        <w:ind w:left="0"/>
        <w:rPr>
          <w:rFonts w:ascii="Times New Roman"/>
        </w:rPr>
      </w:pPr>
      <w:r>
        <w:rPr>
          <w:rFonts w:ascii="Times New Roman"/>
        </w:rPr>
        <w:t>一代测序仪</w:t>
      </w:r>
    </w:p>
    <w:p w14:paraId="09B4B09C">
      <w:pPr>
        <w:pStyle w:val="44"/>
        <w:numPr>
          <w:ilvl w:val="1"/>
          <w:numId w:val="0"/>
        </w:numPr>
        <w:spacing w:before="156" w:after="156"/>
        <w:ind w:firstLine="420" w:firstLineChars="200"/>
        <w:rPr>
          <w:rFonts w:ascii="Times New Roman"/>
        </w:rPr>
      </w:pPr>
      <w:r>
        <w:rPr>
          <w:rFonts w:ascii="Times New Roman" w:eastAsia="宋体"/>
        </w:rPr>
        <w:t>在强电场的作用下，荧光标记的DNA片段通过毛细管中的高分子聚合物从负极向正极移动；片段越短，移动速度越快，长度不同的DNA片段依次通过检测窗口；荧光分子在检测窗口被激光激发产生荧光信号，荧光信号被CCD相机扫描，传递给计算机测序数据实时收集软件并转换成原始数据信号，分析软件分析原始数据信号呈现出最终的测序峰图。</w:t>
      </w:r>
    </w:p>
    <w:p w14:paraId="69F51350">
      <w:pPr>
        <w:pStyle w:val="44"/>
        <w:spacing w:before="156" w:after="156"/>
        <w:ind w:left="0"/>
        <w:rPr>
          <w:rFonts w:ascii="Times New Roman"/>
        </w:rPr>
      </w:pPr>
      <w:r>
        <w:rPr>
          <w:rFonts w:ascii="Times New Roman"/>
        </w:rPr>
        <w:t>边合成边测序原理</w:t>
      </w:r>
    </w:p>
    <w:p w14:paraId="686C0074">
      <w:pPr>
        <w:pStyle w:val="23"/>
        <w:rPr>
          <w:rFonts w:ascii="Times New Roman"/>
        </w:rPr>
      </w:pPr>
      <w:r>
        <w:rPr>
          <w:rFonts w:ascii="Times New Roman"/>
        </w:rPr>
        <w:t>将生物样本制备成待测样品，</w:t>
      </w:r>
      <w:r>
        <w:rPr>
          <w:rFonts w:hint="eastAsia" w:ascii="Times New Roman"/>
        </w:rPr>
        <w:t>通过桥式PCR扩增技术，将待测样品量放大，并收集成文库，然后进行平行循环测序。利用边合成边测序的策略，加入一种或多种带标记的底物核苷酸，在聚合酶的作用下，按照碱基互补配对原则，</w:t>
      </w:r>
      <w:r>
        <w:rPr>
          <w:rFonts w:ascii="Times New Roman"/>
        </w:rPr>
        <w:t>进行DNA链的延伸，延伸一轮测取一轮底物与模板结合后发出的</w:t>
      </w:r>
      <w:r>
        <w:rPr>
          <w:rFonts w:hint="eastAsia" w:ascii="Times New Roman"/>
        </w:rPr>
        <w:t>荧光</w:t>
      </w:r>
      <w:r>
        <w:rPr>
          <w:rFonts w:ascii="Times New Roman"/>
        </w:rPr>
        <w:t>信号，收集该信号并确定所测位点的碱基</w:t>
      </w:r>
      <w:r>
        <w:rPr>
          <w:rFonts w:hint="eastAsia" w:ascii="Times New Roman"/>
        </w:rPr>
        <w:t>信息</w:t>
      </w:r>
      <w:r>
        <w:rPr>
          <w:rFonts w:ascii="Times New Roman"/>
        </w:rPr>
        <w:t>；当上轮测序完成后，利用可逆技术，继续进行下一轮反应，重复测序过程，即可实现高通量基因测序。</w:t>
      </w:r>
    </w:p>
    <w:p w14:paraId="77FD97D3">
      <w:pPr>
        <w:pStyle w:val="47"/>
        <w:spacing w:before="312" w:after="312"/>
        <w:rPr>
          <w:rFonts w:ascii="Times New Roman"/>
        </w:rPr>
      </w:pPr>
      <w:r>
        <w:rPr>
          <w:rFonts w:ascii="Times New Roman"/>
        </w:rPr>
        <w:t>样本处理</w:t>
      </w:r>
    </w:p>
    <w:p w14:paraId="2C5511A5">
      <w:pPr>
        <w:pStyle w:val="23"/>
        <w:spacing w:before="156" w:beforeLines="50" w:after="156" w:afterLines="50"/>
        <w:ind w:firstLine="0" w:firstLineChars="0"/>
        <w:rPr>
          <w:rFonts w:hint="eastAsia" w:ascii="黑体" w:hAnsi="黑体" w:eastAsia="黑体" w:cs="黑体"/>
        </w:rPr>
      </w:pPr>
      <w:bookmarkStart w:id="21" w:name="_Toc451352091"/>
      <w:bookmarkEnd w:id="21"/>
      <w:bookmarkStart w:id="22" w:name="_Toc127457103"/>
      <w:bookmarkStart w:id="23" w:name="_Toc473985409"/>
      <w:bookmarkStart w:id="24" w:name="_Toc473985717"/>
      <w:bookmarkStart w:id="25" w:name="_Toc473992028"/>
      <w:r>
        <w:rPr>
          <w:rFonts w:hint="eastAsia" w:ascii="黑体" w:hAnsi="黑体" w:eastAsia="黑体" w:cs="黑体"/>
        </w:rPr>
        <w:t xml:space="preserve">7.1 </w:t>
      </w:r>
      <w:r>
        <w:rPr>
          <w:rFonts w:hint="eastAsia" w:ascii="黑体" w:hAnsi="黑体" w:eastAsia="黑体" w:cs="黑体"/>
          <w:lang w:val="en-US" w:eastAsia="zh-CN"/>
        </w:rPr>
        <w:t xml:space="preserve"> </w:t>
      </w:r>
      <w:r>
        <w:rPr>
          <w:rFonts w:hint="eastAsia" w:ascii="黑体" w:hAnsi="黑体" w:eastAsia="黑体" w:cs="黑体"/>
        </w:rPr>
        <w:t>样本提取</w:t>
      </w:r>
    </w:p>
    <w:p w14:paraId="2B03D4E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7.1.1</w:t>
      </w:r>
      <w:r>
        <w:rPr>
          <w:rFonts w:hint="eastAsia" w:ascii="黑体" w:hAnsi="黑体" w:eastAsia="黑体" w:cs="黑体"/>
          <w:lang w:val="en-US" w:eastAsia="zh-CN"/>
        </w:rPr>
        <w:t xml:space="preserve"> </w:t>
      </w:r>
      <w:r>
        <w:rPr>
          <w:rFonts w:hint="eastAsia" w:ascii="黑体" w:hAnsi="黑体" w:eastAsia="黑体" w:cs="黑体"/>
        </w:rPr>
        <w:t>样本前处理</w:t>
      </w:r>
    </w:p>
    <w:p w14:paraId="2658F330">
      <w:pPr>
        <w:pStyle w:val="23"/>
        <w:rPr>
          <w:rFonts w:hint="eastAsia" w:hAnsi="宋体" w:cs="宋体"/>
          <w:szCs w:val="21"/>
        </w:rPr>
      </w:pPr>
      <w:r>
        <w:rPr>
          <w:rFonts w:hint="eastAsia" w:hAnsi="宋体" w:cs="宋体"/>
          <w:szCs w:val="21"/>
        </w:rPr>
        <w:t>根据不同生物样本选择的不同处理方式，动植物组织使用液氮研磨；哺乳动物血液样本使用红细胞裂解液对红细胞去除；细胞样本/贴壁细胞经胰酶消化处理再做收集；细菌样本</w:t>
      </w:r>
      <w:r>
        <w:rPr>
          <w:rFonts w:hint="eastAsia" w:hAnsi="宋体" w:cs="宋体"/>
          <w:color w:val="000000"/>
          <w:spacing w:val="8"/>
          <w:szCs w:val="21"/>
          <w:shd w:val="clear" w:color="auto" w:fill="FFFFFF"/>
        </w:rPr>
        <w:t>溶菌酶破壁处理；真菌样本经酶解破壁或液氮冻融或超声裂解；</w:t>
      </w:r>
      <w:r>
        <w:rPr>
          <w:rFonts w:ascii="Times New Roman"/>
          <w:color w:val="000000"/>
          <w:spacing w:val="8"/>
          <w:szCs w:val="21"/>
          <w:shd w:val="clear" w:color="auto" w:fill="FFFFFF"/>
        </w:rPr>
        <w:t>FFPE</w:t>
      </w:r>
      <w:r>
        <w:rPr>
          <w:rFonts w:hint="eastAsia" w:hAnsi="宋体" w:cs="宋体"/>
          <w:color w:val="000000"/>
          <w:spacing w:val="8"/>
          <w:szCs w:val="21"/>
          <w:shd w:val="clear" w:color="auto" w:fill="FFFFFF"/>
        </w:rPr>
        <w:t>样本使用二甲苯或矿物油类的物质进行脱蜡处理方式。</w:t>
      </w:r>
    </w:p>
    <w:p w14:paraId="6ECEDB39">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7.1.2</w:t>
      </w:r>
      <w:r>
        <w:rPr>
          <w:rFonts w:hint="eastAsia" w:ascii="黑体" w:hAnsi="黑体" w:eastAsia="黑体" w:cs="黑体"/>
          <w:lang w:val="en-US" w:eastAsia="zh-CN"/>
        </w:rPr>
        <w:t xml:space="preserve"> </w:t>
      </w:r>
      <w:r>
        <w:rPr>
          <w:rFonts w:hint="eastAsia" w:ascii="黑体" w:hAnsi="黑体" w:eastAsia="黑体" w:cs="黑体"/>
        </w:rPr>
        <w:t>样本裂解</w:t>
      </w:r>
    </w:p>
    <w:p w14:paraId="06DFB56B">
      <w:pPr>
        <w:pStyle w:val="23"/>
        <w:rPr>
          <w:rFonts w:ascii="Times New Roman"/>
        </w:rPr>
      </w:pPr>
      <w:r>
        <w:rPr>
          <w:rFonts w:ascii="Times New Roman"/>
        </w:rPr>
        <w:t>根据</w:t>
      </w:r>
      <w:r>
        <w:rPr>
          <w:rFonts w:hint="eastAsia" w:ascii="Times New Roman"/>
        </w:rPr>
        <w:t>生物样本的不同</w:t>
      </w:r>
      <w:r>
        <w:rPr>
          <w:rFonts w:ascii="Times New Roman"/>
        </w:rPr>
        <w:t>，</w:t>
      </w:r>
      <w:r>
        <w:rPr>
          <w:rFonts w:hint="eastAsia" w:ascii="Times New Roman"/>
        </w:rPr>
        <w:t>参照</w:t>
      </w:r>
      <w:r>
        <w:rPr>
          <w:rFonts w:ascii="Times New Roman"/>
        </w:rPr>
        <w:t>附录</w:t>
      </w:r>
      <w:r>
        <w:rPr>
          <w:rFonts w:hint="eastAsia" w:ascii="Times New Roman"/>
        </w:rPr>
        <w:t>D</w:t>
      </w:r>
      <w:r>
        <w:rPr>
          <w:rFonts w:ascii="Times New Roman"/>
        </w:rPr>
        <w:t>.1和附录</w:t>
      </w:r>
      <w:r>
        <w:rPr>
          <w:rFonts w:hint="eastAsia" w:ascii="Times New Roman"/>
        </w:rPr>
        <w:t>D</w:t>
      </w:r>
      <w:r>
        <w:rPr>
          <w:rFonts w:ascii="Times New Roman"/>
        </w:rPr>
        <w:t>.2方法进行裂解。</w:t>
      </w:r>
    </w:p>
    <w:p w14:paraId="7D2EAB9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7.1.</w:t>
      </w:r>
      <w:r>
        <w:rPr>
          <w:rFonts w:hint="eastAsia" w:ascii="黑体" w:hAnsi="黑体" w:eastAsia="黑体" w:cs="黑体"/>
          <w:lang w:val="en-US" w:eastAsia="zh-CN"/>
        </w:rPr>
        <w:t>3</w:t>
      </w:r>
      <w:r>
        <w:rPr>
          <w:rFonts w:hint="eastAsia" w:ascii="黑体" w:hAnsi="黑体" w:eastAsia="黑体" w:cs="黑体"/>
        </w:rPr>
        <w:t xml:space="preserve"> 核酸分离纯化</w:t>
      </w:r>
    </w:p>
    <w:p w14:paraId="0B7BF7FA">
      <w:pPr>
        <w:pStyle w:val="23"/>
        <w:spacing w:before="156" w:beforeLines="50" w:after="156" w:afterLines="50"/>
        <w:ind w:firstLine="0" w:firstLineChars="0"/>
        <w:rPr>
          <w:rFonts w:ascii="Times New Roman"/>
        </w:rPr>
      </w:pPr>
      <w:r>
        <w:rPr>
          <w:rFonts w:ascii="Times New Roman" w:eastAsia="黑体"/>
        </w:rPr>
        <w:t xml:space="preserve">    </w:t>
      </w:r>
      <w:r>
        <w:rPr>
          <w:rFonts w:ascii="Times New Roman"/>
        </w:rPr>
        <w:t>根据实验室具体情况，选择附录</w:t>
      </w:r>
      <w:r>
        <w:rPr>
          <w:rFonts w:hint="eastAsia" w:ascii="Times New Roman"/>
        </w:rPr>
        <w:t>D</w:t>
      </w:r>
      <w:r>
        <w:rPr>
          <w:rFonts w:ascii="Times New Roman"/>
        </w:rPr>
        <w:t>.3和附录</w:t>
      </w:r>
      <w:r>
        <w:rPr>
          <w:rFonts w:hint="eastAsia" w:ascii="Times New Roman"/>
        </w:rPr>
        <w:t>D</w:t>
      </w:r>
      <w:r>
        <w:rPr>
          <w:rFonts w:ascii="Times New Roman"/>
        </w:rPr>
        <w:t>.4方法进行DNA和RNA</w:t>
      </w:r>
      <w:r>
        <w:rPr>
          <w:rFonts w:hint="eastAsia" w:ascii="Times New Roman"/>
        </w:rPr>
        <w:t>的</w:t>
      </w:r>
      <w:r>
        <w:rPr>
          <w:rFonts w:ascii="Times New Roman"/>
        </w:rPr>
        <w:t>分离纯化。</w:t>
      </w:r>
    </w:p>
    <w:p w14:paraId="21496304">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7.2</w:t>
      </w:r>
      <w:r>
        <w:rPr>
          <w:rFonts w:hint="eastAsia" w:ascii="黑体" w:hAnsi="黑体" w:eastAsia="黑体" w:cs="黑体"/>
          <w:lang w:val="en-US" w:eastAsia="zh-CN"/>
        </w:rPr>
        <w:t xml:space="preserve">  </w:t>
      </w:r>
      <w:r>
        <w:rPr>
          <w:rFonts w:hint="eastAsia" w:ascii="黑体" w:hAnsi="黑体" w:eastAsia="黑体" w:cs="黑体"/>
        </w:rPr>
        <w:t>样本质量检测评估</w:t>
      </w:r>
    </w:p>
    <w:p w14:paraId="7D1AF90B">
      <w:pPr>
        <w:pStyle w:val="23"/>
        <w:rPr>
          <w:rFonts w:ascii="Times New Roman"/>
        </w:rPr>
      </w:pPr>
      <w:r>
        <w:rPr>
          <w:rFonts w:ascii="Times New Roman"/>
        </w:rPr>
        <w:t>对常规样本的核酸提取纯化方法的一般性评价，具体见GB∕T 37874-2019和GB∕T 40664-2021。</w:t>
      </w:r>
    </w:p>
    <w:p w14:paraId="12C7D932">
      <w:pPr>
        <w:pStyle w:val="47"/>
        <w:spacing w:before="312" w:after="312"/>
        <w:rPr>
          <w:rFonts w:hint="eastAsia" w:hAnsi="黑体" w:cs="黑体"/>
        </w:rPr>
      </w:pPr>
      <w:r>
        <w:rPr>
          <w:rFonts w:hint="eastAsia" w:hAnsi="黑体" w:cs="黑体"/>
        </w:rPr>
        <w:t>Sanger测序工艺流程</w:t>
      </w:r>
    </w:p>
    <w:p w14:paraId="66A4F2C5">
      <w:pPr>
        <w:pStyle w:val="44"/>
        <w:spacing w:before="156" w:after="156"/>
        <w:ind w:left="0"/>
        <w:rPr>
          <w:rFonts w:ascii="Times New Roman"/>
        </w:rPr>
      </w:pPr>
      <w:r>
        <w:rPr>
          <w:rFonts w:ascii="Times New Roman"/>
        </w:rPr>
        <w:t>核酸提取及质量评估</w:t>
      </w:r>
    </w:p>
    <w:p w14:paraId="24E77614">
      <w:pPr>
        <w:pStyle w:val="44"/>
        <w:numPr>
          <w:ilvl w:val="1"/>
          <w:numId w:val="0"/>
        </w:numPr>
        <w:spacing w:before="156" w:after="156"/>
        <w:ind w:firstLine="420" w:firstLineChars="200"/>
        <w:rPr>
          <w:rFonts w:hint="eastAsia" w:asciiTheme="minorEastAsia" w:hAnsiTheme="minorEastAsia" w:eastAsiaTheme="minorEastAsia" w:cstheme="minorEastAsia"/>
          <w:szCs w:val="20"/>
        </w:rPr>
      </w:pPr>
      <w:r>
        <w:rPr>
          <w:rFonts w:hint="eastAsia" w:asciiTheme="minorEastAsia" w:hAnsiTheme="minorEastAsia" w:eastAsiaTheme="minorEastAsia" w:cstheme="minorEastAsia"/>
          <w:szCs w:val="20"/>
        </w:rPr>
        <w:t>具体见第7章样本处理。</w:t>
      </w:r>
    </w:p>
    <w:p w14:paraId="1AA820CC">
      <w:pPr>
        <w:pStyle w:val="44"/>
        <w:spacing w:before="156" w:after="156"/>
        <w:ind w:left="0"/>
        <w:rPr>
          <w:rFonts w:ascii="Times New Roman"/>
        </w:rPr>
      </w:pPr>
      <w:r>
        <w:rPr>
          <w:rFonts w:ascii="Times New Roman"/>
        </w:rPr>
        <w:t>引物设计</w:t>
      </w:r>
    </w:p>
    <w:p w14:paraId="6358BF85">
      <w:pPr>
        <w:pStyle w:val="23"/>
        <w:rPr>
          <w:rFonts w:ascii="Times New Roman"/>
        </w:rPr>
      </w:pPr>
      <w:r>
        <w:rPr>
          <w:rFonts w:ascii="Times New Roman"/>
          <w:color w:val="000000" w:themeColor="text1"/>
          <w14:textFill>
            <w14:solidFill>
              <w14:schemeClr w14:val="tx1"/>
            </w14:solidFill>
          </w14:textFill>
        </w:rPr>
        <w:t xml:space="preserve">使用引物设计软件根据待测基因序列设计所需的引物。引物长度一般在17 </w:t>
      </w:r>
      <w:r>
        <w:rPr>
          <w:rFonts w:hint="eastAsia" w:ascii="Times New Roman"/>
          <w:color w:val="000000" w:themeColor="text1"/>
          <w:lang w:val="en-US" w:eastAsia="zh-CN"/>
          <w14:textFill>
            <w14:solidFill>
              <w14:schemeClr w14:val="tx1"/>
            </w14:solidFill>
          </w14:textFill>
        </w:rPr>
        <w:t xml:space="preserve">bp ~ </w:t>
      </w:r>
      <w:r>
        <w:rPr>
          <w:rFonts w:ascii="Times New Roman"/>
          <w:color w:val="000000" w:themeColor="text1"/>
          <w14:textFill>
            <w14:solidFill>
              <w14:schemeClr w14:val="tx1"/>
            </w14:solidFill>
          </w14:textFill>
        </w:rPr>
        <w:t>25</w:t>
      </w:r>
      <w:r>
        <w:rPr>
          <w:rFonts w:hint="eastAsia" w:ascii="Times New Roman"/>
          <w:color w:val="000000" w:themeColor="text1"/>
          <w14:textFill>
            <w14:solidFill>
              <w14:schemeClr w14:val="tx1"/>
            </w14:solidFill>
          </w14:textFill>
        </w:rPr>
        <w:t xml:space="preserve"> </w:t>
      </w:r>
      <w:r>
        <w:rPr>
          <w:rFonts w:ascii="Times New Roman"/>
          <w:color w:val="000000" w:themeColor="text1"/>
          <w14:textFill>
            <w14:solidFill>
              <w14:schemeClr w14:val="tx1"/>
            </w14:solidFill>
          </w14:textFill>
        </w:rPr>
        <w:t>bp；G+C含量在40%</w:t>
      </w:r>
      <w:r>
        <w:rPr>
          <w:rFonts w:hint="eastAsia" w:ascii="Times New Roman"/>
          <w:color w:val="000000" w:themeColor="text1"/>
          <w:lang w:val="en-US" w:eastAsia="zh-CN"/>
          <w14:textFill>
            <w14:solidFill>
              <w14:schemeClr w14:val="tx1"/>
            </w14:solidFill>
          </w14:textFill>
        </w:rPr>
        <w:t xml:space="preserve"> ~ </w:t>
      </w:r>
      <w:r>
        <w:rPr>
          <w:rFonts w:ascii="Times New Roman"/>
          <w:color w:val="000000" w:themeColor="text1"/>
          <w14:textFill>
            <w14:solidFill>
              <w14:schemeClr w14:val="tx1"/>
            </w14:solidFill>
          </w14:textFill>
        </w:rPr>
        <w:t>60%之间，45%</w:t>
      </w:r>
      <w:r>
        <w:rPr>
          <w:rFonts w:hint="eastAsia" w:ascii="Times New Roman"/>
          <w:color w:val="000000" w:themeColor="text1"/>
          <w:lang w:val="en-US" w:eastAsia="zh-CN"/>
          <w14:textFill>
            <w14:solidFill>
              <w14:schemeClr w14:val="tx1"/>
            </w14:solidFill>
          </w14:textFill>
        </w:rPr>
        <w:t xml:space="preserve"> ~ </w:t>
      </w:r>
      <w:r>
        <w:rPr>
          <w:rFonts w:ascii="Times New Roman"/>
          <w:color w:val="000000" w:themeColor="text1"/>
          <w14:textFill>
            <w14:solidFill>
              <w14:schemeClr w14:val="tx1"/>
            </w14:solidFill>
          </w14:textFill>
        </w:rPr>
        <w:t>55%最佳；引物所对应的模板序列的Tm值在55</w:t>
      </w:r>
      <w:r>
        <w:rPr>
          <w:rFonts w:hint="default" w:ascii="Times New Roman" w:hAnsi="Times New Roman" w:cs="Times New Roman"/>
          <w:color w:val="000000" w:themeColor="text1"/>
          <w14:textFill>
            <w14:solidFill>
              <w14:schemeClr w14:val="tx1"/>
            </w14:solidFill>
          </w14:textFill>
        </w:rPr>
        <w:t>℃</w:t>
      </w:r>
      <w:r>
        <w:rPr>
          <w:rFonts w:hint="eastAsia" w:ascii="Times New Roman" w:cs="Times New Roman"/>
          <w:color w:val="000000" w:themeColor="text1"/>
          <w:lang w:val="en-US" w:eastAsia="zh-CN"/>
          <w14:textFill>
            <w14:solidFill>
              <w14:schemeClr w14:val="tx1"/>
            </w14:solidFill>
          </w14:textFill>
        </w:rPr>
        <w:t xml:space="preserve"> </w:t>
      </w:r>
      <w:r>
        <w:rPr>
          <w:rFonts w:hint="eastAsia" w:ascii="Times New Roman"/>
          <w:color w:val="000000" w:themeColor="text1"/>
          <w:lang w:val="en-US" w:eastAsia="zh-CN"/>
          <w14:textFill>
            <w14:solidFill>
              <w14:schemeClr w14:val="tx1"/>
            </w14:solidFill>
          </w14:textFill>
        </w:rPr>
        <w:t xml:space="preserve">~ </w:t>
      </w:r>
      <w:r>
        <w:rPr>
          <w:rFonts w:ascii="Times New Roman"/>
          <w:color w:val="000000" w:themeColor="text1"/>
          <w14:textFill>
            <w14:solidFill>
              <w14:schemeClr w14:val="tx1"/>
            </w14:solidFill>
          </w14:textFill>
        </w:rPr>
        <w:t>80℃之间，最好为72℃左右；引物的延伸是从3'端开始的，不能进行任何修饰，且3'端的碱基一般不用A；碱基随机分布，尽量均匀，</w:t>
      </w:r>
      <w:r>
        <w:rPr>
          <w:rFonts w:ascii="Times New Roman"/>
        </w:rPr>
        <w:t>不能有连续4个碱基的互补。</w:t>
      </w:r>
    </w:p>
    <w:p w14:paraId="51011E09">
      <w:pPr>
        <w:pStyle w:val="44"/>
        <w:spacing w:before="156" w:after="156"/>
        <w:ind w:left="0"/>
        <w:rPr>
          <w:rFonts w:ascii="Times New Roman"/>
        </w:rPr>
      </w:pPr>
      <w:r>
        <w:rPr>
          <w:rFonts w:hint="eastAsia" w:hAnsi="黑体" w:cs="黑体"/>
        </w:rPr>
        <w:t>测序PCR模板扩增</w:t>
      </w:r>
      <w:r>
        <w:rPr>
          <w:rFonts w:ascii="Times New Roman"/>
        </w:rPr>
        <w:t xml:space="preserve"> </w:t>
      </w:r>
    </w:p>
    <w:p w14:paraId="057733E5">
      <w:pPr>
        <w:pStyle w:val="23"/>
        <w:rPr>
          <w:rFonts w:ascii="Times New Roman"/>
        </w:rPr>
      </w:pPr>
      <w:r>
        <w:rPr>
          <w:rFonts w:hint="eastAsia" w:asciiTheme="majorEastAsia" w:hAnsiTheme="majorEastAsia" w:eastAsiaTheme="majorEastAsia" w:cstheme="majorEastAsia"/>
        </w:rPr>
        <w:t>在模板中加入设计</w:t>
      </w:r>
      <w:r>
        <w:fldChar w:fldCharType="begin"/>
      </w:r>
      <w:r>
        <w:instrText xml:space="preserve"> HYPERLINK "https://baike.baidu.com/item/%E5%BC%95%E7%89%A9" \t "_blank" </w:instrText>
      </w:r>
      <w:r>
        <w:fldChar w:fldCharType="separate"/>
      </w:r>
      <w:r>
        <w:rPr>
          <w:rFonts w:hint="eastAsia" w:asciiTheme="majorEastAsia" w:hAnsiTheme="majorEastAsia" w:eastAsiaTheme="majorEastAsia" w:cstheme="majorEastAsia"/>
        </w:rPr>
        <w:t>引物</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rPr>
        <w:t>，</w:t>
      </w:r>
      <w:r>
        <w:rPr>
          <w:rFonts w:ascii="Times New Roman" w:eastAsiaTheme="majorEastAsia"/>
        </w:rPr>
        <w:t>DNA</w:t>
      </w:r>
      <w:r>
        <w:rPr>
          <w:rFonts w:hint="eastAsia" w:asciiTheme="majorEastAsia" w:hAnsiTheme="majorEastAsia" w:eastAsiaTheme="majorEastAsia" w:cstheme="majorEastAsia"/>
        </w:rPr>
        <w:t>聚合酶、</w:t>
      </w:r>
      <w:r>
        <w:rPr>
          <w:rFonts w:ascii="Times New Roman" w:eastAsiaTheme="majorEastAsia"/>
        </w:rPr>
        <w:t>dNTP</w:t>
      </w:r>
      <w:r>
        <w:rPr>
          <w:rFonts w:hint="eastAsia" w:asciiTheme="majorEastAsia" w:hAnsiTheme="majorEastAsia" w:eastAsiaTheme="majorEastAsia" w:cstheme="majorEastAsia"/>
        </w:rPr>
        <w:t>，通过</w:t>
      </w:r>
      <w:r>
        <w:rPr>
          <w:rFonts w:ascii="Times New Roman" w:eastAsiaTheme="majorEastAsia"/>
        </w:rPr>
        <w:t>PCR</w:t>
      </w:r>
      <w:r>
        <w:rPr>
          <w:rFonts w:hint="eastAsia" w:asciiTheme="majorEastAsia" w:hAnsiTheme="majorEastAsia" w:eastAsiaTheme="majorEastAsia" w:cstheme="majorEastAsia"/>
        </w:rPr>
        <w:t>仪的温度变化控制</w:t>
      </w:r>
      <w:r>
        <w:rPr>
          <w:rFonts w:ascii="Times New Roman" w:eastAsiaTheme="minorEastAsia"/>
        </w:rPr>
        <w:t>DNA</w:t>
      </w:r>
      <w:r>
        <w:rPr>
          <w:rFonts w:hint="eastAsia" w:asciiTheme="majorEastAsia" w:hAnsiTheme="majorEastAsia" w:eastAsiaTheme="majorEastAsia" w:cstheme="majorEastAsia"/>
        </w:rPr>
        <w:t>的变性和</w:t>
      </w:r>
      <w:r>
        <w:fldChar w:fldCharType="begin"/>
      </w:r>
      <w:r>
        <w:instrText xml:space="preserve"> HYPERLINK "https://baike.baidu.com/item/%E5%A4%8D%E6%80%A7" \t "_blank" </w:instrText>
      </w:r>
      <w:r>
        <w:fldChar w:fldCharType="separate"/>
      </w:r>
      <w:r>
        <w:rPr>
          <w:rFonts w:hint="eastAsia" w:asciiTheme="majorEastAsia" w:hAnsiTheme="majorEastAsia" w:eastAsiaTheme="majorEastAsia" w:cstheme="majorEastAsia"/>
        </w:rPr>
        <w:t>复性</w:t>
      </w:r>
      <w:r>
        <w:rPr>
          <w:rFonts w:hint="eastAsia" w:asciiTheme="majorEastAsia" w:hAnsiTheme="majorEastAsia" w:eastAsiaTheme="majorEastAsia" w:cstheme="majorEastAsia"/>
        </w:rPr>
        <w:fldChar w:fldCharType="end"/>
      </w:r>
      <w:r>
        <w:rPr>
          <w:rFonts w:hint="eastAsia" w:asciiTheme="majorEastAsia" w:hAnsiTheme="majorEastAsia" w:eastAsiaTheme="majorEastAsia" w:cstheme="majorEastAsia"/>
        </w:rPr>
        <w:t>，完成特定基因的体外扩增，得到充足的模板。</w:t>
      </w:r>
    </w:p>
    <w:p w14:paraId="5BBB1766">
      <w:pPr>
        <w:pStyle w:val="44"/>
        <w:spacing w:before="156" w:after="156"/>
        <w:ind w:left="0"/>
        <w:rPr>
          <w:rFonts w:hint="eastAsia" w:hAnsi="黑体" w:cs="黑体"/>
        </w:rPr>
      </w:pPr>
      <w:r>
        <w:rPr>
          <w:rFonts w:hint="eastAsia" w:hAnsi="黑体" w:cs="黑体"/>
        </w:rPr>
        <w:t>PCR产物纯化</w:t>
      </w:r>
    </w:p>
    <w:p w14:paraId="7715B065">
      <w:pPr>
        <w:pStyle w:val="23"/>
        <w:rPr>
          <w:rFonts w:ascii="Times New Roman"/>
          <w:color w:val="000000" w:themeColor="text1"/>
          <w14:textFill>
            <w14:solidFill>
              <w14:schemeClr w14:val="tx1"/>
            </w14:solidFill>
          </w14:textFill>
        </w:rPr>
      </w:pPr>
      <w:r>
        <w:rPr>
          <w:rFonts w:hint="eastAsia" w:asciiTheme="minorEastAsia" w:hAnsiTheme="minorEastAsia" w:eastAsiaTheme="minorEastAsia" w:cstheme="minorEastAsia"/>
        </w:rPr>
        <w:t>去除</w:t>
      </w:r>
      <w:r>
        <w:rPr>
          <w:rFonts w:ascii="Times New Roman" w:eastAsiaTheme="minorEastAsia"/>
        </w:rPr>
        <w:t>PCR</w:t>
      </w:r>
      <w:r>
        <w:rPr>
          <w:rFonts w:hint="eastAsia" w:asciiTheme="minorEastAsia" w:hAnsiTheme="minorEastAsia" w:eastAsiaTheme="minorEastAsia" w:cstheme="minorEastAsia"/>
        </w:rPr>
        <w:t>反应液残留的引物、</w:t>
      </w:r>
      <w:r>
        <w:rPr>
          <w:rFonts w:ascii="Times New Roman" w:eastAsiaTheme="minorEastAsia"/>
        </w:rPr>
        <w:t>dNTPs</w:t>
      </w:r>
      <w:r>
        <w:rPr>
          <w:rFonts w:hint="eastAsia" w:asciiTheme="minorEastAsia" w:hAnsiTheme="minorEastAsia" w:eastAsiaTheme="minorEastAsia" w:cstheme="minorEastAsia"/>
        </w:rPr>
        <w:t>、盐成分、非特异</w:t>
      </w:r>
      <w:r>
        <w:rPr>
          <w:rFonts w:ascii="Times New Roman" w:eastAsiaTheme="minorEastAsia"/>
        </w:rPr>
        <w:t>PCR</w:t>
      </w:r>
      <w:r>
        <w:rPr>
          <w:rFonts w:hint="eastAsia" w:asciiTheme="minorEastAsia" w:hAnsiTheme="minorEastAsia" w:eastAsiaTheme="minorEastAsia" w:cstheme="minorEastAsia"/>
        </w:rPr>
        <w:t>产物等，以防止后期测序</w:t>
      </w:r>
      <w:r>
        <w:rPr>
          <w:rFonts w:ascii="Times New Roman" w:eastAsiaTheme="minorEastAsia"/>
        </w:rPr>
        <w:t>PCR</w:t>
      </w:r>
      <w:r>
        <w:rPr>
          <w:rFonts w:hint="eastAsia" w:asciiTheme="minorEastAsia" w:hAnsiTheme="minorEastAsia" w:eastAsiaTheme="minorEastAsia" w:cstheme="minorEastAsia"/>
        </w:rPr>
        <w:t>反应中出现多重测序，抑制测序酶活性，扩增出同源性区域。</w:t>
      </w:r>
    </w:p>
    <w:p w14:paraId="4803FE6B">
      <w:pPr>
        <w:pStyle w:val="44"/>
        <w:spacing w:before="156" w:after="156"/>
        <w:ind w:left="0"/>
        <w:rPr>
          <w:rFonts w:ascii="Times New Roman"/>
        </w:rPr>
      </w:pPr>
      <w:r>
        <w:rPr>
          <w:rFonts w:ascii="Times New Roman"/>
        </w:rPr>
        <w:t>测序PCR反应</w:t>
      </w:r>
    </w:p>
    <w:p w14:paraId="6D0BF806">
      <w:pPr>
        <w:pStyle w:val="8"/>
        <w:ind w:firstLine="420" w:firstLineChars="200"/>
      </w:pPr>
      <w:r>
        <w:rPr>
          <w:rFonts w:hint="eastAsia"/>
        </w:rPr>
        <w:t>使用</w:t>
      </w:r>
      <w:r>
        <w:rPr>
          <w:rFonts w:hint="eastAsia"/>
          <w:lang w:val="en-US" w:eastAsia="zh-CN"/>
        </w:rPr>
        <w:t>Sanger</w:t>
      </w:r>
      <w:r>
        <w:rPr>
          <w:rFonts w:hint="eastAsia"/>
        </w:rPr>
        <w:t>测序试剂盒</w:t>
      </w:r>
      <w:r>
        <w:t>，加入PCR产物及引物进行测序PCR反应。</w:t>
      </w:r>
    </w:p>
    <w:p w14:paraId="03C1CAFB">
      <w:pPr>
        <w:pStyle w:val="44"/>
        <w:spacing w:before="156" w:after="156"/>
        <w:ind w:left="0"/>
        <w:rPr>
          <w:rFonts w:ascii="Times New Roman"/>
        </w:rPr>
      </w:pPr>
      <w:r>
        <w:rPr>
          <w:rFonts w:ascii="Times New Roman"/>
        </w:rPr>
        <w:t>测序反应产物纯化</w:t>
      </w:r>
    </w:p>
    <w:p w14:paraId="0324B678">
      <w:pPr>
        <w:pStyle w:val="8"/>
        <w:rPr>
          <w:rFonts w:hint="eastAsia"/>
        </w:rPr>
      </w:pPr>
      <w:r>
        <w:t xml:space="preserve">    </w:t>
      </w:r>
      <w:r>
        <w:rPr>
          <w:rFonts w:hint="eastAsia"/>
        </w:rPr>
        <w:t>对测序PCR产物进行纯化，过滤混合物，去除ddNTP等其他杂质，只留下长短不一的目的PCR片段。</w:t>
      </w:r>
    </w:p>
    <w:p w14:paraId="3C7F19D3">
      <w:pPr>
        <w:pStyle w:val="44"/>
        <w:spacing w:before="156" w:after="156"/>
        <w:ind w:left="0"/>
        <w:rPr>
          <w:rFonts w:ascii="Times New Roman"/>
        </w:rPr>
      </w:pPr>
      <w:r>
        <w:rPr>
          <w:rFonts w:ascii="Times New Roman"/>
        </w:rPr>
        <w:t>上机测序</w:t>
      </w:r>
    </w:p>
    <w:p w14:paraId="14D75979">
      <w:pPr>
        <w:pStyle w:val="23"/>
        <w:spacing w:before="156" w:beforeLines="50" w:after="156" w:afterLines="50"/>
        <w:jc w:val="left"/>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制备凝胶后，对一代测序仪仪器通道排除气泡后，开始测序，通过激光照射，读取荧光基团，得到一代测序结果。</w:t>
      </w:r>
    </w:p>
    <w:bookmarkEnd w:id="22"/>
    <w:p w14:paraId="51FE6551">
      <w:pPr>
        <w:pStyle w:val="47"/>
        <w:spacing w:before="312" w:after="312"/>
        <w:rPr>
          <w:rFonts w:ascii="Times New Roman"/>
        </w:rPr>
      </w:pPr>
      <w:r>
        <w:rPr>
          <w:rFonts w:ascii="Times New Roman"/>
        </w:rPr>
        <w:t>二代测序工艺流程</w:t>
      </w:r>
    </w:p>
    <w:p w14:paraId="6A33B525">
      <w:pPr>
        <w:pStyle w:val="44"/>
        <w:spacing w:before="156" w:after="156"/>
        <w:ind w:left="0"/>
        <w:rPr>
          <w:rFonts w:ascii="Times New Roman"/>
        </w:rPr>
      </w:pPr>
      <w:r>
        <w:rPr>
          <w:rFonts w:ascii="Times New Roman"/>
        </w:rPr>
        <w:t>样本制备和质量评估</w:t>
      </w:r>
    </w:p>
    <w:p w14:paraId="7BD0DD31">
      <w:pPr>
        <w:pStyle w:val="8"/>
        <w:ind w:firstLine="420" w:firstLineChars="200"/>
        <w:rPr>
          <w:rFonts w:hint="eastAsia" w:asciiTheme="majorEastAsia" w:hAnsiTheme="majorEastAsia" w:eastAsiaTheme="majorEastAsia" w:cstheme="majorEastAsia"/>
        </w:rPr>
      </w:pPr>
      <w:r>
        <w:rPr>
          <w:rFonts w:hint="eastAsia" w:asciiTheme="majorEastAsia" w:hAnsiTheme="majorEastAsia" w:eastAsiaTheme="majorEastAsia" w:cstheme="majorEastAsia"/>
        </w:rPr>
        <w:t>样本制备和质量评估按照第7章样本处理要求执行。</w:t>
      </w:r>
    </w:p>
    <w:p w14:paraId="5507364E">
      <w:pPr>
        <w:pStyle w:val="44"/>
        <w:numPr>
          <w:ilvl w:val="1"/>
          <w:numId w:val="0"/>
        </w:numPr>
        <w:spacing w:before="156" w:after="156"/>
        <w:rPr>
          <w:rFonts w:hint="eastAsia" w:hAnsi="黑体" w:cs="黑体"/>
        </w:rPr>
      </w:pPr>
      <w:r>
        <w:rPr>
          <w:rFonts w:hint="eastAsia" w:hAnsi="黑体" w:cs="黑体"/>
        </w:rPr>
        <w:t>9.2  构建文库</w:t>
      </w:r>
    </w:p>
    <w:p w14:paraId="5EF259BC">
      <w:pPr>
        <w:pStyle w:val="8"/>
        <w:ind w:firstLine="420" w:firstLineChars="200"/>
        <w:rPr>
          <w:rFonts w:hint="eastAsia" w:ascii="Times New Roman" w:hAnsi="Times New Roman" w:eastAsiaTheme="majorEastAsia" w:cstheme="majorEastAsia"/>
          <w:sz w:val="21"/>
          <w:lang w:eastAsia="zh-CN"/>
        </w:rPr>
      </w:pPr>
      <w:r>
        <w:rPr>
          <w:rFonts w:hint="eastAsia" w:asciiTheme="majorEastAsia" w:hAnsiTheme="majorEastAsia" w:eastAsiaTheme="majorEastAsia" w:cstheme="majorEastAsia"/>
        </w:rPr>
        <w:t>文库制备对于成功进行二代测序工作流程至关重要。该步骤会制备出兼容测序仪的</w:t>
      </w:r>
      <w:r>
        <w:rPr>
          <w:rFonts w:eastAsiaTheme="majorEastAsia"/>
        </w:rPr>
        <w:t>DNA</w:t>
      </w:r>
      <w:r>
        <w:rPr>
          <w:rFonts w:hint="eastAsia" w:asciiTheme="majorEastAsia" w:hAnsiTheme="majorEastAsia" w:eastAsiaTheme="majorEastAsia" w:cstheme="majorEastAsia"/>
        </w:rPr>
        <w:t>样本。本流程包括常用的</w:t>
      </w:r>
      <w:r>
        <w:rPr>
          <w:rFonts w:eastAsiaTheme="majorEastAsia"/>
        </w:rPr>
        <w:t>DNA</w:t>
      </w:r>
      <w:r>
        <w:rPr>
          <w:rFonts w:hint="eastAsia" w:asciiTheme="majorEastAsia" w:hAnsiTheme="majorEastAsia" w:eastAsiaTheme="majorEastAsia" w:cstheme="majorEastAsia"/>
        </w:rPr>
        <w:t>建库和</w:t>
      </w:r>
      <w:r>
        <w:rPr>
          <w:rFonts w:eastAsiaTheme="majorEastAsia"/>
        </w:rPr>
        <w:t>mRNA</w:t>
      </w:r>
      <w:r>
        <w:rPr>
          <w:rFonts w:hint="eastAsia" w:asciiTheme="majorEastAsia" w:hAnsiTheme="majorEastAsia" w:eastAsiaTheme="majorEastAsia" w:cstheme="majorEastAsia"/>
        </w:rPr>
        <w:t>建库流</w:t>
      </w:r>
      <w:r>
        <w:rPr>
          <w:rFonts w:hint="eastAsia" w:ascii="Times New Roman" w:hAnsi="Times New Roman" w:eastAsiaTheme="majorEastAsia" w:cstheme="majorEastAsia"/>
          <w:sz w:val="21"/>
        </w:rPr>
        <w:t>程</w:t>
      </w:r>
      <w:r>
        <w:rPr>
          <w:rFonts w:hint="eastAsia" w:ascii="Times New Roman" w:hAnsi="Times New Roman" w:eastAsiaTheme="majorEastAsia" w:cstheme="majorEastAsia"/>
          <w:sz w:val="21"/>
          <w:lang w:eastAsia="zh-CN"/>
        </w:rPr>
        <w:t>，具体建库流程图参见附录C.3、C.4、C.5。</w:t>
      </w:r>
    </w:p>
    <w:p w14:paraId="01BCAB79">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9.2.1 DNA文库构建</w:t>
      </w:r>
    </w:p>
    <w:p w14:paraId="0AF3088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9.2.1.1  一般规定</w:t>
      </w:r>
    </w:p>
    <w:p w14:paraId="3B1BF037">
      <w:pPr>
        <w:pStyle w:val="23"/>
        <w:spacing w:before="156" w:beforeLines="50" w:after="156" w:afterLines="50"/>
        <w:ind w:firstLineChars="200"/>
        <w:rPr>
          <w:rFonts w:hint="eastAsia" w:ascii="Times New Roman" w:hAnsi="Times New Roman" w:eastAsiaTheme="minorEastAsia" w:cstheme="minorEastAsia"/>
          <w:sz w:val="21"/>
          <w:szCs w:val="21"/>
          <w:lang w:eastAsia="zh-CN"/>
        </w:rPr>
      </w:pPr>
      <w:r>
        <w:rPr>
          <w:rFonts w:hint="eastAsia" w:ascii="Times New Roman" w:hAnsi="Times New Roman" w:eastAsiaTheme="minorEastAsia" w:cstheme="minorEastAsia"/>
          <w:sz w:val="21"/>
          <w:szCs w:val="21"/>
        </w:rPr>
        <w:t>根据待测目的基因性质，特定基因需设计所需的引物（见8.2），再经过目的片段DNA的扩增（见8.3），获得足够浓度和纯度的目标DNA片段；非特定基因按9.1的要求获得足够浓度和纯度的DNA。DNA文库使用建库试剂盒构建</w:t>
      </w:r>
      <w:r>
        <w:rPr>
          <w:rFonts w:hint="eastAsia" w:ascii="Times New Roman" w:eastAsiaTheme="minorEastAsia" w:cstheme="minorEastAsia"/>
          <w:sz w:val="21"/>
          <w:szCs w:val="21"/>
          <w:lang w:eastAsia="zh-CN"/>
        </w:rPr>
        <w:t>。</w:t>
      </w:r>
    </w:p>
    <w:p w14:paraId="28158C80">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9.2.1.</w:t>
      </w:r>
      <w:r>
        <w:rPr>
          <w:rFonts w:hint="eastAsia" w:ascii="黑体" w:hAnsi="黑体" w:eastAsia="黑体" w:cs="黑体"/>
          <w:lang w:val="en-US" w:eastAsia="zh-CN"/>
        </w:rPr>
        <w:t xml:space="preserve">2 </w:t>
      </w:r>
      <w:r>
        <w:rPr>
          <w:rFonts w:hint="eastAsia" w:ascii="黑体" w:hAnsi="黑体" w:eastAsia="黑体" w:cs="黑体"/>
        </w:rPr>
        <w:t>片段化</w:t>
      </w:r>
    </w:p>
    <w:p w14:paraId="3547D890">
      <w:pPr>
        <w:pStyle w:val="23"/>
        <w:spacing w:before="156" w:beforeLines="50" w:after="156" w:afterLines="50"/>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将目标</w:t>
      </w:r>
      <w:r>
        <w:rPr>
          <w:rFonts w:ascii="Times New Roman" w:eastAsiaTheme="minorEastAsia"/>
          <w:szCs w:val="21"/>
        </w:rPr>
        <w:t>DNA</w:t>
      </w:r>
      <w:r>
        <w:rPr>
          <w:rFonts w:hint="eastAsia" w:asciiTheme="minorEastAsia" w:hAnsiTheme="minorEastAsia" w:eastAsiaTheme="minorEastAsia" w:cstheme="minorEastAsia"/>
          <w:szCs w:val="21"/>
        </w:rPr>
        <w:t>片段使用限制性内切酶或超声波打断进行片段化处理。</w:t>
      </w:r>
    </w:p>
    <w:p w14:paraId="5BB78CD3">
      <w:pPr>
        <w:pStyle w:val="23"/>
        <w:spacing w:before="156" w:beforeLines="50" w:after="156" w:afterLines="50"/>
        <w:ind w:firstLine="0" w:firstLineChars="0"/>
        <w:rPr>
          <w:rFonts w:hint="eastAsia" w:ascii="黑体" w:hAnsi="黑体" w:eastAsia="黑体" w:cs="黑体"/>
          <w:szCs w:val="21"/>
        </w:rPr>
      </w:pPr>
      <w:r>
        <w:rPr>
          <w:rFonts w:hint="eastAsia" w:ascii="黑体" w:hAnsi="黑体" w:eastAsia="黑体" w:cs="黑体"/>
        </w:rPr>
        <w:t>9.2.1.</w:t>
      </w:r>
      <w:r>
        <w:rPr>
          <w:rFonts w:hint="eastAsia" w:ascii="黑体" w:hAnsi="黑体" w:eastAsia="黑体" w:cs="黑体"/>
          <w:lang w:val="en-US" w:eastAsia="zh-CN"/>
        </w:rPr>
        <w:t xml:space="preserve">3 </w:t>
      </w:r>
      <w:r>
        <w:rPr>
          <w:rFonts w:hint="eastAsia" w:ascii="黑体" w:hAnsi="黑体" w:eastAsia="黑体" w:cs="黑体"/>
          <w:szCs w:val="21"/>
        </w:rPr>
        <w:t>末端修复</w:t>
      </w:r>
    </w:p>
    <w:p w14:paraId="33D83F46">
      <w:pPr>
        <w:pStyle w:val="23"/>
        <w:spacing w:before="156" w:beforeLines="50" w:after="156" w:afterLines="50"/>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将随机打断、末端不平的片段化</w:t>
      </w:r>
      <w:r>
        <w:rPr>
          <w:rFonts w:ascii="Times New Roman" w:eastAsiaTheme="minorEastAsia"/>
          <w:szCs w:val="21"/>
        </w:rPr>
        <w:t>DNA</w:t>
      </w:r>
      <w:r>
        <w:rPr>
          <w:rFonts w:hint="eastAsia" w:asciiTheme="minorEastAsia" w:hAnsiTheme="minorEastAsia" w:eastAsiaTheme="minorEastAsia" w:cstheme="minorEastAsia"/>
          <w:szCs w:val="21"/>
        </w:rPr>
        <w:t>通过末端修复酶进行末端补齐和5’端磷酸修饰。</w:t>
      </w:r>
    </w:p>
    <w:p w14:paraId="2C3C477A">
      <w:pPr>
        <w:pStyle w:val="23"/>
        <w:spacing w:before="156" w:beforeLines="50" w:after="156" w:afterLines="50"/>
        <w:ind w:firstLine="0" w:firstLineChars="0"/>
        <w:rPr>
          <w:rFonts w:hint="eastAsia" w:ascii="黑体" w:hAnsi="黑体" w:eastAsia="黑体" w:cs="黑体"/>
          <w:szCs w:val="21"/>
        </w:rPr>
      </w:pPr>
      <w:r>
        <w:rPr>
          <w:rFonts w:hint="eastAsia" w:ascii="黑体" w:hAnsi="黑体" w:eastAsia="黑体" w:cs="黑体"/>
        </w:rPr>
        <w:t>9.2.1.</w:t>
      </w:r>
      <w:r>
        <w:rPr>
          <w:rFonts w:hint="eastAsia" w:ascii="黑体" w:hAnsi="黑体" w:eastAsia="黑体" w:cs="黑体"/>
          <w:lang w:val="en-US" w:eastAsia="zh-CN"/>
        </w:rPr>
        <w:t xml:space="preserve">4 </w:t>
      </w:r>
      <w:r>
        <w:rPr>
          <w:rFonts w:hint="eastAsia" w:ascii="黑体" w:hAnsi="黑体" w:eastAsia="黑体" w:cs="黑体"/>
          <w:szCs w:val="21"/>
        </w:rPr>
        <w:t>添加接头</w:t>
      </w:r>
    </w:p>
    <w:p w14:paraId="010F4A9A">
      <w:pPr>
        <w:pStyle w:val="23"/>
        <w:spacing w:before="156" w:beforeLines="50" w:after="156" w:afterLines="50"/>
        <w:rPr>
          <w:rFonts w:hint="eastAsia" w:ascii="Times New Roman" w:hAnsi="Times New Roman" w:eastAsiaTheme="minorEastAsia" w:cstheme="minorEastAsia"/>
          <w:sz w:val="21"/>
          <w:szCs w:val="21"/>
        </w:rPr>
      </w:pPr>
      <w:r>
        <w:rPr>
          <w:rFonts w:hint="eastAsia" w:asciiTheme="minorEastAsia" w:hAnsiTheme="minorEastAsia" w:eastAsiaTheme="minorEastAsia" w:cstheme="minorEastAsia"/>
          <w:szCs w:val="21"/>
        </w:rPr>
        <w:t>经</w:t>
      </w:r>
      <w:r>
        <w:rPr>
          <w:rFonts w:hint="eastAsia" w:ascii="Times New Roman" w:hAnsi="Times New Roman" w:eastAsiaTheme="minorEastAsia" w:cstheme="minorEastAsia"/>
          <w:sz w:val="21"/>
          <w:szCs w:val="21"/>
        </w:rPr>
        <w:t>过末端修饰后的DNA片段3'末端具有突出的A尾，而接头具有突出的T尾，使用连接酶将接头添加到DNA片段两端，形成“Y”形接头。</w:t>
      </w:r>
    </w:p>
    <w:p w14:paraId="6AF6114A">
      <w:pPr>
        <w:pStyle w:val="23"/>
        <w:spacing w:before="156" w:beforeLines="50" w:after="156" w:afterLines="50"/>
        <w:ind w:firstLine="0" w:firstLineChars="0"/>
        <w:rPr>
          <w:rFonts w:hint="eastAsia" w:ascii="黑体" w:hAnsi="黑体" w:eastAsia="黑体" w:cs="黑体"/>
          <w:szCs w:val="21"/>
        </w:rPr>
      </w:pPr>
      <w:r>
        <w:rPr>
          <w:rFonts w:hint="eastAsia" w:ascii="黑体" w:hAnsi="黑体" w:eastAsia="黑体" w:cs="黑体"/>
        </w:rPr>
        <w:t>9.2.1</w:t>
      </w:r>
      <w:r>
        <w:rPr>
          <w:rFonts w:hint="eastAsia" w:ascii="黑体" w:hAnsi="黑体" w:eastAsia="黑体" w:cs="黑体"/>
          <w:lang w:val="en-US" w:eastAsia="zh-CN"/>
        </w:rPr>
        <w:t xml:space="preserve">.5 </w:t>
      </w:r>
      <w:r>
        <w:rPr>
          <w:rFonts w:hint="eastAsia" w:ascii="黑体" w:hAnsi="黑体" w:eastAsia="黑体" w:cs="黑体"/>
          <w:szCs w:val="21"/>
        </w:rPr>
        <w:t>PCR扩增纯化</w:t>
      </w:r>
    </w:p>
    <w:p w14:paraId="670C89E8">
      <w:pPr>
        <w:pStyle w:val="23"/>
        <w:spacing w:before="156" w:beforeLines="50" w:after="156" w:afterLines="50"/>
        <w:ind w:firstLineChars="200"/>
        <w:rPr>
          <w:rFonts w:ascii="Times New Roman" w:hAnsi="Times New Roman" w:eastAsiaTheme="minorEastAsia" w:cstheme="minorEastAsia"/>
          <w:sz w:val="21"/>
          <w:szCs w:val="21"/>
        </w:rPr>
      </w:pPr>
      <w:r>
        <w:rPr>
          <w:rFonts w:hint="eastAsia" w:ascii="Times New Roman" w:hAnsi="Times New Roman" w:eastAsiaTheme="minorEastAsia" w:cstheme="minorEastAsia"/>
          <w:sz w:val="21"/>
          <w:szCs w:val="21"/>
        </w:rPr>
        <w:t>添加了接头的DNA片段，可通过与接头互补的引物来扩增，富集文库，再通过磁珠法对文库纯化，以去除杂质和未连接的接头或接头二聚体。</w:t>
      </w:r>
    </w:p>
    <w:p w14:paraId="01562C33">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 常规mRNA文库构建</w:t>
      </w:r>
    </w:p>
    <w:p w14:paraId="329C742B">
      <w:pPr>
        <w:pStyle w:val="23"/>
        <w:spacing w:before="156" w:beforeLines="50" w:after="156" w:afterLines="50"/>
        <w:ind w:firstLineChars="200"/>
        <w:rPr>
          <w:rFonts w:ascii="Times New Roman" w:hAnsi="Times New Roman" w:eastAsiaTheme="minorEastAsia" w:cstheme="minorEastAsia"/>
          <w:sz w:val="21"/>
          <w:szCs w:val="21"/>
        </w:rPr>
      </w:pPr>
      <w:r>
        <w:rPr>
          <w:rFonts w:ascii="Times New Roman" w:hAnsi="Times New Roman" w:eastAsiaTheme="minorEastAsia" w:cstheme="minorEastAsia"/>
          <w:sz w:val="21"/>
          <w:szCs w:val="21"/>
        </w:rPr>
        <w:t>不论真核生物还是原核生物，其RNA中最多的是rRNA，其占比高达80%。如果直接对样本的总RNA进行测序，测序数据中绝大部分将为rRNA的相关数据，因此通过RNA富集的方法去除rRNA，得到纯化的mRNA</w:t>
      </w:r>
      <w:r>
        <w:rPr>
          <w:rFonts w:hint="eastAsia" w:ascii="Times New Roman" w:hAnsi="Times New Roman" w:eastAsiaTheme="minorEastAsia" w:cstheme="minorEastAsia"/>
          <w:sz w:val="21"/>
          <w:szCs w:val="21"/>
        </w:rPr>
        <w:t>。然后再进行文库构建。</w:t>
      </w:r>
    </w:p>
    <w:p w14:paraId="103740AC">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9.2.2.1 mRNA纯化</w:t>
      </w:r>
    </w:p>
    <w:p w14:paraId="580A39E1">
      <w:pPr>
        <w:pStyle w:val="23"/>
        <w:spacing w:before="156" w:beforeLines="50" w:after="156" w:afterLines="50"/>
        <w:ind w:firstLine="0" w:firstLineChars="0"/>
        <w:rPr>
          <w:rFonts w:ascii="Times New Roman"/>
          <w:szCs w:val="21"/>
        </w:rPr>
      </w:pPr>
      <w:r>
        <w:rPr>
          <w:rFonts w:hint="eastAsia" w:ascii="黑体" w:hAnsi="黑体" w:eastAsia="黑体" w:cs="黑体"/>
          <w:szCs w:val="21"/>
        </w:rPr>
        <w:t xml:space="preserve">9.2.2.1.1 </w:t>
      </w:r>
      <w:r>
        <w:rPr>
          <w:rFonts w:ascii="Times New Roman"/>
          <w:szCs w:val="21"/>
        </w:rPr>
        <w:t>poly</w:t>
      </w:r>
      <w:r>
        <w:rPr>
          <w:rFonts w:hint="eastAsia" w:ascii="Times New Roman"/>
          <w:szCs w:val="21"/>
          <w:lang w:val="en-US" w:eastAsia="zh-CN"/>
        </w:rPr>
        <w:t>(</w:t>
      </w:r>
      <w:r>
        <w:rPr>
          <w:rFonts w:ascii="Times New Roman"/>
          <w:szCs w:val="21"/>
        </w:rPr>
        <w:t>A</w:t>
      </w:r>
      <w:r>
        <w:rPr>
          <w:rFonts w:hint="eastAsia" w:ascii="Times New Roman"/>
          <w:szCs w:val="21"/>
          <w:lang w:val="en-US" w:eastAsia="zh-CN"/>
        </w:rPr>
        <w:t>)</w:t>
      </w:r>
      <w:r>
        <w:rPr>
          <w:rFonts w:ascii="Times New Roman"/>
          <w:szCs w:val="21"/>
        </w:rPr>
        <w:t>纯化：真核生物的mRNA的3</w:t>
      </w:r>
      <w:r>
        <w:rPr>
          <w:rFonts w:ascii="Times New Roman"/>
        </w:rPr>
        <w:t>'</w:t>
      </w:r>
      <w:r>
        <w:rPr>
          <w:rFonts w:ascii="Times New Roman"/>
          <w:szCs w:val="21"/>
        </w:rPr>
        <w:t>端具有poly</w:t>
      </w:r>
      <w:r>
        <w:rPr>
          <w:rFonts w:hint="eastAsia" w:ascii="Times New Roman"/>
          <w:szCs w:val="21"/>
          <w:lang w:val="en-US" w:eastAsia="zh-CN"/>
        </w:rPr>
        <w:t>(</w:t>
      </w:r>
      <w:r>
        <w:rPr>
          <w:rFonts w:ascii="Times New Roman"/>
          <w:szCs w:val="21"/>
        </w:rPr>
        <w:t>A</w:t>
      </w:r>
      <w:r>
        <w:rPr>
          <w:rFonts w:hint="eastAsia" w:ascii="Times New Roman"/>
          <w:szCs w:val="21"/>
          <w:lang w:val="en-US" w:eastAsia="zh-CN"/>
        </w:rPr>
        <w:t>)</w:t>
      </w:r>
      <w:r>
        <w:rPr>
          <w:rFonts w:ascii="Times New Roman"/>
          <w:szCs w:val="21"/>
        </w:rPr>
        <w:t>尾结构，用带有Poly(T)探针的磁珠与总RNA进行杂交。然后Poly(T)探针就和带Poly(A)尾巴的mRNA结合在一起，通过回收磁珠，去除其他RNA，见附录</w:t>
      </w:r>
      <w:r>
        <w:rPr>
          <w:rFonts w:hint="eastAsia" w:ascii="Times New Roman"/>
          <w:szCs w:val="21"/>
        </w:rPr>
        <w:t>C.4</w:t>
      </w:r>
      <w:r>
        <w:rPr>
          <w:rFonts w:ascii="Times New Roman"/>
          <w:szCs w:val="21"/>
        </w:rPr>
        <w:t>。</w:t>
      </w:r>
    </w:p>
    <w:p w14:paraId="4656808B">
      <w:pPr>
        <w:pStyle w:val="23"/>
        <w:spacing w:before="156" w:beforeLines="50" w:after="156" w:afterLines="50"/>
        <w:ind w:firstLine="0" w:firstLineChars="0"/>
        <w:rPr>
          <w:rFonts w:ascii="Times New Roman" w:eastAsia="黑体"/>
        </w:rPr>
      </w:pPr>
      <w:r>
        <w:rPr>
          <w:rFonts w:hint="eastAsia" w:ascii="黑体" w:hAnsi="黑体" w:eastAsia="黑体" w:cs="黑体"/>
          <w:szCs w:val="21"/>
        </w:rPr>
        <w:t xml:space="preserve">9.2.2.1.2 </w:t>
      </w:r>
      <w:r>
        <w:rPr>
          <w:rFonts w:ascii="Times New Roman"/>
          <w:szCs w:val="21"/>
        </w:rPr>
        <w:t>去除rRNA：通过使用与 rRNA 互补的寡核苷酸探针与总RNA样品杂交去除16S和23S rRNA，见附录</w:t>
      </w:r>
      <w:r>
        <w:rPr>
          <w:rFonts w:hint="eastAsia" w:ascii="Times New Roman"/>
          <w:szCs w:val="21"/>
        </w:rPr>
        <w:t>C.5</w:t>
      </w:r>
      <w:r>
        <w:rPr>
          <w:rFonts w:ascii="Times New Roman"/>
          <w:szCs w:val="21"/>
        </w:rPr>
        <w:t>。</w:t>
      </w:r>
    </w:p>
    <w:p w14:paraId="53893484">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9.2.2.2 片段化处理</w:t>
      </w:r>
    </w:p>
    <w:p w14:paraId="2745513C">
      <w:pPr>
        <w:pStyle w:val="23"/>
        <w:spacing w:before="156" w:beforeLines="50" w:after="156" w:afterLines="50"/>
        <w:rPr>
          <w:rFonts w:hint="eastAsia" w:ascii="Times New Roman" w:hAnsi="Times New Roman" w:eastAsiaTheme="minorEastAsia" w:cstheme="minorEastAsia"/>
          <w:szCs w:val="21"/>
        </w:rPr>
      </w:pPr>
      <w:r>
        <w:rPr>
          <w:rFonts w:hint="eastAsia" w:ascii="Times New Roman" w:hAnsi="Times New Roman" w:eastAsiaTheme="minorEastAsia" w:cstheme="minorEastAsia"/>
          <w:szCs w:val="21"/>
        </w:rPr>
        <w:t>将含有金属离子（Mg</w:t>
      </w:r>
      <w:r>
        <w:rPr>
          <w:rFonts w:hint="eastAsia" w:ascii="Times New Roman" w:hAnsi="Times New Roman" w:eastAsiaTheme="minorEastAsia" w:cstheme="minorEastAsia"/>
          <w:szCs w:val="21"/>
          <w:vertAlign w:val="superscript"/>
        </w:rPr>
        <w:t>2+</w:t>
      </w:r>
      <w:r>
        <w:rPr>
          <w:rFonts w:hint="eastAsia" w:ascii="Times New Roman" w:hAnsi="Times New Roman" w:eastAsiaTheme="minorEastAsia" w:cstheme="minorEastAsia"/>
          <w:szCs w:val="21"/>
        </w:rPr>
        <w:t>、Zn</w:t>
      </w:r>
      <w:r>
        <w:rPr>
          <w:rFonts w:hint="eastAsia" w:ascii="Times New Roman" w:hAnsi="Times New Roman" w:eastAsiaTheme="minorEastAsia" w:cstheme="minorEastAsia"/>
          <w:szCs w:val="21"/>
          <w:vertAlign w:val="superscript"/>
        </w:rPr>
        <w:t>2+</w:t>
      </w:r>
      <w:r>
        <w:rPr>
          <w:rFonts w:hint="eastAsia" w:ascii="Times New Roman" w:hAnsi="Times New Roman" w:eastAsiaTheme="minorEastAsia" w:cstheme="minorEastAsia"/>
          <w:szCs w:val="21"/>
        </w:rPr>
        <w:t>）的打断buffer，对RNA进行打断。根据需要的文库片段大小选择合适的打断温度和时间。</w:t>
      </w:r>
    </w:p>
    <w:p w14:paraId="591AC8CE">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9.2.2.3 合成cDNA</w:t>
      </w:r>
    </w:p>
    <w:p w14:paraId="0DAA196A">
      <w:pPr>
        <w:pStyle w:val="23"/>
        <w:spacing w:before="156" w:beforeLines="50" w:after="156" w:afterLines="50"/>
        <w:rPr>
          <w:rFonts w:hint="eastAsia" w:asciiTheme="minorEastAsia" w:hAnsiTheme="minorEastAsia" w:eastAsiaTheme="minorEastAsia" w:cstheme="minorEastAsia"/>
          <w:szCs w:val="21"/>
        </w:rPr>
      </w:pPr>
      <w:r>
        <w:rPr>
          <w:rFonts w:hint="eastAsia" w:ascii="Times New Roman" w:hAnsi="Times New Roman" w:eastAsiaTheme="minorEastAsia" w:cstheme="minorEastAsia"/>
          <w:szCs w:val="21"/>
        </w:rPr>
        <w:t>被打断的这些</w:t>
      </w:r>
      <w:r>
        <w:rPr>
          <w:rFonts w:hint="eastAsia" w:ascii="Times New Roman" w:eastAsiaTheme="minorEastAsia" w:cstheme="minorEastAsia"/>
          <w:szCs w:val="21"/>
        </w:rPr>
        <w:t>mRNA</w:t>
      </w:r>
      <w:r>
        <w:rPr>
          <w:rFonts w:hint="eastAsia" w:ascii="Times New Roman" w:hAnsi="Times New Roman" w:eastAsiaTheme="minorEastAsia" w:cstheme="minorEastAsia"/>
          <w:szCs w:val="21"/>
        </w:rPr>
        <w:t>片段，通过随机六聚体引物，逆转录酶以</w:t>
      </w:r>
      <w:r>
        <w:rPr>
          <w:rFonts w:hint="eastAsia" w:ascii="Times New Roman" w:eastAsiaTheme="minorEastAsia" w:cstheme="minorEastAsia"/>
          <w:szCs w:val="21"/>
        </w:rPr>
        <w:t>mRNA</w:t>
      </w:r>
      <w:r>
        <w:rPr>
          <w:rFonts w:hint="eastAsia" w:ascii="Times New Roman" w:hAnsi="Times New Roman" w:eastAsiaTheme="minorEastAsia" w:cstheme="minorEastAsia"/>
          <w:szCs w:val="21"/>
        </w:rPr>
        <w:t>为模版合成</w:t>
      </w:r>
      <w:r>
        <w:rPr>
          <w:rFonts w:hint="eastAsia" w:ascii="Times New Roman" w:eastAsiaTheme="minorEastAsia" w:cstheme="minorEastAsia"/>
          <w:szCs w:val="21"/>
        </w:rPr>
        <w:t>cDNA</w:t>
      </w:r>
      <w:r>
        <w:rPr>
          <w:rFonts w:hint="eastAsia" w:ascii="Times New Roman" w:hAnsi="Times New Roman" w:eastAsiaTheme="minorEastAsia" w:cstheme="minorEastAsia"/>
          <w:szCs w:val="21"/>
        </w:rPr>
        <w:t>。</w:t>
      </w:r>
    </w:p>
    <w:p w14:paraId="55367E4C">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9.2.2.4 合成双链DNA</w:t>
      </w:r>
    </w:p>
    <w:p w14:paraId="7C568A30">
      <w:pPr>
        <w:pStyle w:val="23"/>
        <w:spacing w:before="156" w:beforeLines="50" w:after="156" w:afterLines="50"/>
        <w:rPr>
          <w:rFonts w:ascii="Times New Roman"/>
          <w:szCs w:val="21"/>
        </w:rPr>
      </w:pPr>
      <w:r>
        <w:rPr>
          <w:rFonts w:ascii="Times New Roman"/>
          <w:szCs w:val="21"/>
        </w:rPr>
        <w:t>加入dNTP</w:t>
      </w:r>
      <w:r>
        <w:rPr>
          <w:rFonts w:hint="eastAsia" w:ascii="Times New Roman"/>
          <w:szCs w:val="21"/>
        </w:rPr>
        <w:t>、</w:t>
      </w:r>
      <w:r>
        <w:rPr>
          <w:rFonts w:ascii="Times New Roman"/>
          <w:szCs w:val="21"/>
        </w:rPr>
        <w:t>聚合酶以c</w:t>
      </w:r>
      <w:r>
        <w:rPr>
          <w:rFonts w:hint="eastAsia" w:ascii="Times New Roman"/>
          <w:szCs w:val="21"/>
        </w:rPr>
        <w:t>D</w:t>
      </w:r>
      <w:r>
        <w:rPr>
          <w:rFonts w:ascii="Times New Roman"/>
          <w:szCs w:val="21"/>
        </w:rPr>
        <w:t>NA为模板在PCR仪中进行双链DNA合成，并加入RNaseH</w:t>
      </w:r>
      <w:r>
        <w:rPr>
          <w:rFonts w:hint="eastAsia" w:ascii="Times New Roman"/>
          <w:szCs w:val="21"/>
        </w:rPr>
        <w:t>、</w:t>
      </w:r>
      <w:r>
        <w:rPr>
          <w:rFonts w:ascii="Times New Roman"/>
          <w:szCs w:val="21"/>
        </w:rPr>
        <w:t>磷酸化酶</w:t>
      </w:r>
      <w:r>
        <w:rPr>
          <w:rFonts w:hint="eastAsia" w:ascii="Times New Roman"/>
          <w:szCs w:val="21"/>
        </w:rPr>
        <w:t>、</w:t>
      </w:r>
      <w:r>
        <w:rPr>
          <w:rFonts w:ascii="Times New Roman"/>
          <w:szCs w:val="21"/>
        </w:rPr>
        <w:t>外切酶将双链DNA末端补齐</w:t>
      </w:r>
      <w:r>
        <w:rPr>
          <w:rFonts w:hint="eastAsia" w:ascii="Times New Roman"/>
          <w:szCs w:val="21"/>
        </w:rPr>
        <w:t>以及对双链DNA的</w:t>
      </w:r>
      <w:r>
        <w:rPr>
          <w:rFonts w:ascii="Times New Roman"/>
          <w:szCs w:val="21"/>
        </w:rPr>
        <w:t>5’端</w:t>
      </w:r>
      <w:r>
        <w:rPr>
          <w:rFonts w:hint="eastAsia" w:ascii="Times New Roman"/>
          <w:szCs w:val="21"/>
        </w:rPr>
        <w:t>进行</w:t>
      </w:r>
      <w:r>
        <w:rPr>
          <w:rFonts w:ascii="Times New Roman"/>
          <w:szCs w:val="21"/>
        </w:rPr>
        <w:t>磷酸修饰</w:t>
      </w:r>
      <w:r>
        <w:rPr>
          <w:rFonts w:hint="eastAsia" w:ascii="Times New Roman"/>
          <w:szCs w:val="21"/>
        </w:rPr>
        <w:t>和</w:t>
      </w:r>
      <w:r>
        <w:rPr>
          <w:rFonts w:ascii="Times New Roman"/>
          <w:szCs w:val="21"/>
        </w:rPr>
        <w:t>3’末端突出的A尾</w:t>
      </w:r>
      <w:r>
        <w:rPr>
          <w:rFonts w:hint="eastAsia" w:ascii="Times New Roman"/>
          <w:szCs w:val="21"/>
        </w:rPr>
        <w:t>修饰</w:t>
      </w:r>
      <w:r>
        <w:rPr>
          <w:rFonts w:ascii="Times New Roman"/>
          <w:szCs w:val="21"/>
        </w:rPr>
        <w:t>。</w:t>
      </w:r>
    </w:p>
    <w:p w14:paraId="16BB3166">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9.2.2.5 添加接头</w:t>
      </w:r>
    </w:p>
    <w:p w14:paraId="4A6D10A9">
      <w:pPr>
        <w:pStyle w:val="23"/>
        <w:spacing w:before="156" w:beforeLines="50" w:after="156" w:afterLines="50"/>
        <w:rPr>
          <w:rFonts w:hint="eastAsia" w:asciiTheme="minorEastAsia" w:hAnsiTheme="minorEastAsia" w:eastAsiaTheme="minorEastAsia" w:cstheme="minorEastAsia"/>
        </w:rPr>
      </w:pPr>
      <w:r>
        <w:rPr>
          <w:rFonts w:hint="eastAsia" w:asciiTheme="minorEastAsia" w:hAnsiTheme="minorEastAsia" w:eastAsiaTheme="minorEastAsia" w:cstheme="minorEastAsia"/>
          <w:szCs w:val="21"/>
        </w:rPr>
        <w:t>通过</w:t>
      </w:r>
      <w:r>
        <w:rPr>
          <w:rFonts w:ascii="Times New Roman" w:eastAsiaTheme="minorEastAsia"/>
          <w:szCs w:val="21"/>
        </w:rPr>
        <w:t>T</w:t>
      </w:r>
      <w:r>
        <w:rPr>
          <w:rFonts w:ascii="Times New Roman" w:eastAsiaTheme="minorEastAsia"/>
          <w:szCs w:val="21"/>
          <w:vertAlign w:val="subscript"/>
        </w:rPr>
        <w:t>4</w:t>
      </w:r>
      <w:r>
        <w:rPr>
          <w:rFonts w:ascii="Times New Roman" w:eastAsiaTheme="minorEastAsia"/>
          <w:szCs w:val="21"/>
        </w:rPr>
        <w:t xml:space="preserve"> DNA</w:t>
      </w:r>
      <w:r>
        <w:rPr>
          <w:rFonts w:hint="eastAsia" w:asciiTheme="minorEastAsia" w:hAnsiTheme="minorEastAsia" w:eastAsiaTheme="minorEastAsia" w:cstheme="minorEastAsia"/>
          <w:szCs w:val="21"/>
        </w:rPr>
        <w:t>连接酶和含有高浓度盐离子及</w:t>
      </w:r>
      <w:r>
        <w:rPr>
          <w:rFonts w:ascii="Times New Roman" w:eastAsiaTheme="minorEastAsia"/>
          <w:szCs w:val="21"/>
        </w:rPr>
        <w:t>PEG</w:t>
      </w:r>
      <w:r>
        <w:rPr>
          <w:rFonts w:hint="eastAsia" w:asciiTheme="minorEastAsia" w:hAnsiTheme="minorEastAsia" w:eastAsiaTheme="minorEastAsia" w:cstheme="minorEastAsia"/>
          <w:szCs w:val="21"/>
        </w:rPr>
        <w:t>的连接</w:t>
      </w:r>
      <w:r>
        <w:rPr>
          <w:rFonts w:ascii="Times New Roman" w:eastAsiaTheme="minorEastAsia"/>
          <w:szCs w:val="21"/>
        </w:rPr>
        <w:t>buffer</w:t>
      </w:r>
      <w:r>
        <w:rPr>
          <w:rFonts w:hint="eastAsia" w:asciiTheme="minorEastAsia" w:hAnsiTheme="minorEastAsia" w:eastAsiaTheme="minorEastAsia" w:cstheme="minorEastAsia"/>
          <w:szCs w:val="21"/>
        </w:rPr>
        <w:t>，在双链的</w:t>
      </w:r>
      <w:r>
        <w:rPr>
          <w:rFonts w:ascii="Times New Roman" w:eastAsiaTheme="minorEastAsia"/>
          <w:szCs w:val="21"/>
        </w:rPr>
        <w:t>cDNA</w:t>
      </w:r>
      <w:r>
        <w:rPr>
          <w:rFonts w:hint="eastAsia" w:asciiTheme="minorEastAsia" w:hAnsiTheme="minorEastAsia" w:eastAsiaTheme="minorEastAsia" w:cstheme="minorEastAsia"/>
          <w:szCs w:val="21"/>
        </w:rPr>
        <w:t>的两端接上</w:t>
      </w:r>
      <w:r>
        <w:rPr>
          <w:rFonts w:ascii="Times New Roman" w:eastAsiaTheme="minorEastAsia"/>
          <w:szCs w:val="21"/>
        </w:rPr>
        <w:t>“Y”</w:t>
      </w:r>
      <w:r>
        <w:rPr>
          <w:rFonts w:hint="eastAsia" w:asciiTheme="minorEastAsia" w:hAnsiTheme="minorEastAsia" w:eastAsiaTheme="minorEastAsia" w:cstheme="minorEastAsia"/>
          <w:szCs w:val="21"/>
        </w:rPr>
        <w:t>型的接头（每个接头都有一个</w:t>
      </w:r>
      <w:r>
        <w:rPr>
          <w:rFonts w:ascii="Times New Roman" w:eastAsiaTheme="minorEastAsia"/>
          <w:szCs w:val="21"/>
        </w:rPr>
        <w:t>index</w:t>
      </w:r>
      <w:r>
        <w:rPr>
          <w:rFonts w:hint="eastAsia" w:asciiTheme="minorEastAsia" w:hAnsiTheme="minorEastAsia" w:eastAsiaTheme="minorEastAsia" w:cstheme="minorEastAsia"/>
          <w:szCs w:val="21"/>
        </w:rPr>
        <w:t>，不同的文库构建可以使用不同的</w:t>
      </w:r>
      <w:r>
        <w:rPr>
          <w:rFonts w:ascii="Times New Roman" w:eastAsiaTheme="minorEastAsia"/>
          <w:szCs w:val="21"/>
        </w:rPr>
        <w:t>index</w:t>
      </w:r>
      <w:r>
        <w:rPr>
          <w:rFonts w:hint="eastAsia" w:asciiTheme="minorEastAsia" w:hAnsiTheme="minorEastAsia" w:eastAsiaTheme="minorEastAsia" w:cstheme="minorEastAsia"/>
          <w:szCs w:val="21"/>
        </w:rPr>
        <w:t>）。</w:t>
      </w:r>
    </w:p>
    <w:p w14:paraId="212EF790">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9.2.2.6 片段选择</w:t>
      </w:r>
    </w:p>
    <w:p w14:paraId="214AD13A">
      <w:pPr>
        <w:pStyle w:val="23"/>
        <w:spacing w:before="156" w:beforeLines="50" w:after="156" w:afterLines="50"/>
        <w:ind w:firstLineChars="200"/>
        <w:rPr>
          <w:rFonts w:asciiTheme="minorEastAsia" w:hAnsiTheme="minorEastAsia" w:eastAsiaTheme="minorEastAsia" w:cstheme="minorEastAsia"/>
          <w:szCs w:val="21"/>
        </w:rPr>
      </w:pPr>
      <w:r>
        <w:rPr>
          <w:rFonts w:asciiTheme="minorEastAsia" w:hAnsiTheme="minorEastAsia" w:eastAsiaTheme="minorEastAsia" w:cstheme="minorEastAsia"/>
          <w:szCs w:val="21"/>
        </w:rPr>
        <w:t>利用磁珠对产物进行纯化与分选，去除杂质及接头二聚体，获得所需大小的</w:t>
      </w:r>
      <w:r>
        <w:rPr>
          <w:rFonts w:hint="eastAsia" w:asciiTheme="minorEastAsia" w:hAnsiTheme="minorEastAsia" w:eastAsiaTheme="minorEastAsia" w:cstheme="minorEastAsia"/>
          <w:szCs w:val="21"/>
        </w:rPr>
        <w:t>目的</w:t>
      </w:r>
      <w:r>
        <w:rPr>
          <w:rFonts w:asciiTheme="minorEastAsia" w:hAnsiTheme="minorEastAsia" w:eastAsiaTheme="minorEastAsia" w:cstheme="minorEastAsia"/>
          <w:szCs w:val="21"/>
        </w:rPr>
        <w:t>片段。</w:t>
      </w:r>
    </w:p>
    <w:p w14:paraId="5D396FFF">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 xml:space="preserve">9.2.2.7 PCR扩增、纯化   </w:t>
      </w:r>
    </w:p>
    <w:p w14:paraId="1969E739">
      <w:pPr>
        <w:pStyle w:val="23"/>
        <w:spacing w:before="156" w:beforeLines="50" w:after="156" w:afterLines="50"/>
        <w:ind w:firstLineChars="200"/>
        <w:rPr>
          <w:rFonts w:asciiTheme="minorEastAsia" w:hAnsiTheme="minorEastAsia" w:eastAsiaTheme="minorEastAsia" w:cstheme="minorEastAsia"/>
          <w:szCs w:val="21"/>
        </w:rPr>
      </w:pPr>
      <w:r>
        <w:rPr>
          <w:rFonts w:asciiTheme="minorEastAsia" w:hAnsiTheme="minorEastAsia" w:eastAsiaTheme="minorEastAsia" w:cstheme="minorEastAsia"/>
          <w:szCs w:val="21"/>
        </w:rPr>
        <w:t>针对核酸样本建库的不同起始量，选择合适的扩增循环数进行扩增</w:t>
      </w:r>
      <w:r>
        <w:rPr>
          <w:rFonts w:hint="eastAsia" w:asciiTheme="minorEastAsia" w:hAnsiTheme="minorEastAsia" w:eastAsiaTheme="minorEastAsia" w:cstheme="minorEastAsia"/>
          <w:szCs w:val="21"/>
        </w:rPr>
        <w:t>来富集文库。</w:t>
      </w:r>
    </w:p>
    <w:p w14:paraId="7CCA2A03">
      <w:pPr>
        <w:pStyle w:val="44"/>
        <w:numPr>
          <w:ilvl w:val="1"/>
          <w:numId w:val="0"/>
        </w:numPr>
        <w:spacing w:before="156" w:after="156"/>
        <w:rPr>
          <w:rFonts w:hint="eastAsia" w:hAnsi="黑体" w:cs="黑体"/>
        </w:rPr>
      </w:pPr>
      <w:r>
        <w:rPr>
          <w:rFonts w:hint="eastAsia" w:hAnsi="黑体" w:cs="黑体"/>
        </w:rPr>
        <w:t>9.3  文库质检</w:t>
      </w:r>
    </w:p>
    <w:p w14:paraId="5B653C03">
      <w:pPr>
        <w:pStyle w:val="23"/>
        <w:rPr>
          <w:rFonts w:ascii="Times New Roman"/>
        </w:rPr>
      </w:pPr>
      <w:r>
        <w:rPr>
          <w:rFonts w:hint="eastAsia" w:ascii="Times New Roman"/>
        </w:rPr>
        <w:t>对建好的文库进行</w:t>
      </w:r>
      <w:r>
        <w:rPr>
          <w:rFonts w:ascii="Times New Roman"/>
        </w:rPr>
        <w:t>文库浓度</w:t>
      </w:r>
      <w:r>
        <w:rPr>
          <w:rFonts w:hint="eastAsia" w:ascii="Times New Roman"/>
        </w:rPr>
        <w:t>的定量和</w:t>
      </w:r>
      <w:r>
        <w:rPr>
          <w:rFonts w:ascii="Times New Roman"/>
        </w:rPr>
        <w:t>文库质量</w:t>
      </w:r>
      <w:r>
        <w:rPr>
          <w:rFonts w:hint="eastAsia" w:ascii="Times New Roman"/>
        </w:rPr>
        <w:t>评价</w:t>
      </w:r>
      <w:r>
        <w:rPr>
          <w:rFonts w:ascii="Times New Roman"/>
        </w:rPr>
        <w:t>，良好的文库应</w:t>
      </w:r>
      <w:r>
        <w:rPr>
          <w:rFonts w:hint="eastAsia" w:ascii="Times New Roman"/>
        </w:rPr>
        <w:t>有足够的浓度并</w:t>
      </w:r>
      <w:r>
        <w:rPr>
          <w:rFonts w:ascii="Times New Roman"/>
        </w:rPr>
        <w:t>在预计大小的位置有一个较窄的峰，而其他位置无峰。</w:t>
      </w:r>
    </w:p>
    <w:p w14:paraId="56A3E6E4">
      <w:pPr>
        <w:pStyle w:val="44"/>
        <w:numPr>
          <w:ilvl w:val="1"/>
          <w:numId w:val="0"/>
        </w:numPr>
        <w:spacing w:before="156" w:after="156"/>
        <w:rPr>
          <w:rFonts w:hint="eastAsia" w:hAnsi="黑体" w:cs="黑体"/>
        </w:rPr>
      </w:pPr>
      <w:r>
        <w:rPr>
          <w:rFonts w:hint="eastAsia" w:hAnsi="黑体" w:cs="黑体"/>
        </w:rPr>
        <w:t>9.4  上机测序</w:t>
      </w:r>
    </w:p>
    <w:p w14:paraId="1483DA9F">
      <w:pPr>
        <w:pStyle w:val="23"/>
        <w:rPr>
          <w:rFonts w:ascii="Times New Roman"/>
        </w:rPr>
      </w:pPr>
      <w:r>
        <w:rPr>
          <w:rFonts w:ascii="Times New Roman"/>
        </w:rPr>
        <w:t>根据数据量及文库片段长度，采用多重分析法，将多个文库混合并</w:t>
      </w:r>
      <w:r>
        <w:rPr>
          <w:rFonts w:hint="eastAsia" w:ascii="Times New Roman"/>
        </w:rPr>
        <w:t>在</w:t>
      </w:r>
      <w:r>
        <w:rPr>
          <w:rFonts w:ascii="Times New Roman"/>
        </w:rPr>
        <w:t>定量后进行变性处理。单链化的文库DNA片段通过二代测序仪进行边合成边测序</w:t>
      </w:r>
      <w:r>
        <w:rPr>
          <w:rFonts w:hint="eastAsia" w:ascii="Times New Roman"/>
        </w:rPr>
        <w:t>得到测序数据</w:t>
      </w:r>
      <w:r>
        <w:rPr>
          <w:rFonts w:ascii="Times New Roman"/>
        </w:rPr>
        <w:t>。测序</w:t>
      </w:r>
      <w:r>
        <w:rPr>
          <w:rFonts w:hint="eastAsia" w:ascii="Times New Roman"/>
          <w:lang w:val="en-US" w:eastAsia="zh-CN"/>
        </w:rPr>
        <w:t>仪中的</w:t>
      </w:r>
      <w:r>
        <w:rPr>
          <w:rFonts w:ascii="Times New Roman"/>
        </w:rPr>
        <w:t>具体流程</w:t>
      </w:r>
      <w:r>
        <w:rPr>
          <w:rFonts w:ascii="Times New Roman"/>
          <w:color w:val="auto"/>
        </w:rPr>
        <w:t>见附录</w:t>
      </w:r>
      <w:r>
        <w:rPr>
          <w:rFonts w:hint="eastAsia" w:ascii="Times New Roman"/>
          <w:color w:val="auto"/>
        </w:rPr>
        <w:t>E</w:t>
      </w:r>
      <w:r>
        <w:rPr>
          <w:rFonts w:ascii="Times New Roman"/>
          <w:color w:val="auto"/>
        </w:rPr>
        <w:t>。</w:t>
      </w:r>
    </w:p>
    <w:bookmarkEnd w:id="23"/>
    <w:bookmarkEnd w:id="24"/>
    <w:bookmarkEnd w:id="25"/>
    <w:p w14:paraId="2B8E3AAF">
      <w:pPr>
        <w:pStyle w:val="47"/>
        <w:spacing w:before="312" w:after="312"/>
        <w:rPr>
          <w:rFonts w:ascii="Times New Roman"/>
        </w:rPr>
      </w:pPr>
      <w:r>
        <w:rPr>
          <w:rFonts w:ascii="Times New Roman"/>
        </w:rPr>
        <w:t>基因合成工艺流程</w:t>
      </w:r>
    </w:p>
    <w:p w14:paraId="5C4EB180">
      <w:pPr>
        <w:pStyle w:val="23"/>
        <w:rPr>
          <w:rFonts w:ascii="Times New Roman"/>
        </w:rPr>
      </w:pPr>
      <w:r>
        <w:rPr>
          <w:rFonts w:ascii="Times New Roman"/>
        </w:rPr>
        <w:t>本标准所述基因合成的内容主要包含引物合成（短片段）和基因合成（长片段）的合成。具体流程图</w:t>
      </w:r>
      <w:r>
        <w:rPr>
          <w:rFonts w:ascii="Times New Roman"/>
          <w:color w:val="auto"/>
        </w:rPr>
        <w:t>见附录</w:t>
      </w:r>
      <w:r>
        <w:rPr>
          <w:rFonts w:hint="eastAsia" w:ascii="Times New Roman"/>
          <w:color w:val="auto"/>
        </w:rPr>
        <w:t>C.6</w:t>
      </w:r>
      <w:r>
        <w:rPr>
          <w:rFonts w:ascii="Times New Roman"/>
          <w:color w:val="auto"/>
        </w:rPr>
        <w:t>和附录</w:t>
      </w:r>
      <w:r>
        <w:rPr>
          <w:rFonts w:hint="eastAsia" w:ascii="Times New Roman"/>
          <w:color w:val="auto"/>
        </w:rPr>
        <w:t>C.7</w:t>
      </w:r>
      <w:r>
        <w:rPr>
          <w:rFonts w:ascii="Times New Roman"/>
          <w:color w:val="auto"/>
        </w:rPr>
        <w:t>。</w:t>
      </w:r>
    </w:p>
    <w:p w14:paraId="0615103B">
      <w:pPr>
        <w:pStyle w:val="44"/>
        <w:spacing w:before="156" w:after="156"/>
        <w:ind w:left="0"/>
        <w:rPr>
          <w:rFonts w:hint="eastAsia" w:hAnsi="黑体" w:cs="黑体"/>
        </w:rPr>
      </w:pPr>
      <w:r>
        <w:rPr>
          <w:rFonts w:hint="eastAsia" w:hAnsi="黑体" w:cs="黑体"/>
        </w:rPr>
        <w:t>引物合成</w:t>
      </w:r>
    </w:p>
    <w:p w14:paraId="0951A1B5">
      <w:pPr>
        <w:pStyle w:val="44"/>
        <w:numPr>
          <w:ilvl w:val="1"/>
          <w:numId w:val="0"/>
        </w:numPr>
        <w:spacing w:before="156" w:after="156"/>
        <w:rPr>
          <w:rFonts w:hint="eastAsia" w:hAnsi="黑体" w:cs="黑体"/>
        </w:rPr>
      </w:pPr>
      <w:r>
        <w:rPr>
          <w:rFonts w:hint="eastAsia" w:hAnsi="黑体" w:cs="黑体"/>
        </w:rPr>
        <w:t>10.1.1 单体溶解</w:t>
      </w:r>
    </w:p>
    <w:p w14:paraId="640A1869">
      <w:pPr>
        <w:pStyle w:val="44"/>
        <w:numPr>
          <w:ilvl w:val="1"/>
          <w:numId w:val="0"/>
        </w:numPr>
        <w:spacing w:before="156" w:after="156"/>
        <w:ind w:firstLine="420" w:firstLineChars="200"/>
        <w:rPr>
          <w:rFonts w:ascii="Times New Roman" w:eastAsia="宋体"/>
        </w:rPr>
      </w:pPr>
      <w:r>
        <w:rPr>
          <w:rFonts w:ascii="Times New Roman" w:eastAsia="宋体"/>
        </w:rPr>
        <w:t>取有效期内的A、T、C、G四种单体</w:t>
      </w:r>
      <w:r>
        <w:rPr>
          <w:rFonts w:hint="eastAsia" w:ascii="Times New Roman" w:eastAsia="宋体"/>
        </w:rPr>
        <w:t>试剂</w:t>
      </w:r>
      <w:r>
        <w:rPr>
          <w:rFonts w:ascii="Times New Roman" w:eastAsia="宋体"/>
        </w:rPr>
        <w:t>，加入乙腈溶解固体粉末，待单体全部溶解，除气泡后备用。</w:t>
      </w:r>
    </w:p>
    <w:p w14:paraId="468C8037">
      <w:pPr>
        <w:pStyle w:val="44"/>
        <w:numPr>
          <w:ilvl w:val="1"/>
          <w:numId w:val="0"/>
        </w:numPr>
        <w:spacing w:before="156" w:after="156"/>
        <w:rPr>
          <w:rFonts w:hint="eastAsia" w:hAnsi="黑体" w:cs="黑体"/>
        </w:rPr>
      </w:pPr>
      <w:r>
        <w:rPr>
          <w:rFonts w:hint="eastAsia" w:hAnsi="黑体" w:cs="黑体"/>
        </w:rPr>
        <w:t>10.1.2 寡核苷酸（Oligo）片段合成</w:t>
      </w:r>
    </w:p>
    <w:p w14:paraId="5EB63302">
      <w:pPr>
        <w:pStyle w:val="44"/>
        <w:numPr>
          <w:ilvl w:val="1"/>
          <w:numId w:val="0"/>
        </w:numPr>
        <w:spacing w:before="156" w:after="156"/>
        <w:ind w:firstLine="420" w:firstLineChars="200"/>
        <w:rPr>
          <w:rFonts w:ascii="Times New Roman" w:eastAsia="宋体"/>
        </w:rPr>
      </w:pPr>
      <w:r>
        <w:rPr>
          <w:rFonts w:ascii="Times New Roman" w:eastAsia="宋体"/>
        </w:rPr>
        <w:t>根据</w:t>
      </w:r>
      <w:r>
        <w:rPr>
          <w:rFonts w:hint="eastAsia" w:ascii="Times New Roman" w:eastAsia="宋体"/>
        </w:rPr>
        <w:t>目的寡核苷酸片段</w:t>
      </w:r>
      <w:r>
        <w:rPr>
          <w:rFonts w:ascii="Times New Roman" w:eastAsia="宋体"/>
        </w:rPr>
        <w:t>序列，在合成仪上合成特定的寡核苷酸（Oligo）片段，一般</w:t>
      </w:r>
      <w:r>
        <w:rPr>
          <w:rFonts w:hint="eastAsia" w:ascii="Times New Roman" w:eastAsia="宋体"/>
        </w:rPr>
        <w:t>引物</w:t>
      </w:r>
      <w:r>
        <w:rPr>
          <w:rFonts w:ascii="Times New Roman" w:eastAsia="宋体"/>
        </w:rPr>
        <w:t>长度在20个碱基左右，最长一般不超过60个碱基，具体流程见</w:t>
      </w:r>
      <w:r>
        <w:rPr>
          <w:rFonts w:ascii="Times New Roman" w:eastAsia="宋体"/>
          <w:color w:val="auto"/>
        </w:rPr>
        <w:t>附录</w:t>
      </w:r>
      <w:r>
        <w:rPr>
          <w:rFonts w:hint="eastAsia" w:ascii="Times New Roman" w:eastAsia="宋体"/>
          <w:color w:val="auto"/>
        </w:rPr>
        <w:t>F</w:t>
      </w:r>
      <w:r>
        <w:rPr>
          <w:rFonts w:ascii="Times New Roman" w:eastAsia="宋体"/>
          <w:color w:val="auto"/>
        </w:rPr>
        <w:t>。</w:t>
      </w:r>
    </w:p>
    <w:p w14:paraId="5F743798">
      <w:pPr>
        <w:pStyle w:val="44"/>
        <w:numPr>
          <w:ilvl w:val="1"/>
          <w:numId w:val="0"/>
        </w:numPr>
        <w:spacing w:before="156" w:after="156"/>
        <w:rPr>
          <w:rFonts w:hint="eastAsia" w:hAnsi="黑体" w:cs="黑体"/>
        </w:rPr>
      </w:pPr>
      <w:r>
        <w:rPr>
          <w:rFonts w:hint="eastAsia" w:hAnsi="黑体" w:cs="黑体"/>
        </w:rPr>
        <w:t>10.1.3 切割和脱保护基</w:t>
      </w:r>
    </w:p>
    <w:p w14:paraId="2D03848B">
      <w:pPr>
        <w:pStyle w:val="44"/>
        <w:numPr>
          <w:ilvl w:val="1"/>
          <w:numId w:val="0"/>
        </w:numPr>
        <w:spacing w:before="156" w:after="156"/>
        <w:rPr>
          <w:rFonts w:hint="eastAsia" w:hAnsi="黑体" w:cs="黑体"/>
        </w:rPr>
      </w:pPr>
      <w:r>
        <w:rPr>
          <w:rFonts w:hint="eastAsia" w:hAnsi="黑体" w:cs="黑体"/>
        </w:rPr>
        <w:t>10.1.3.1 切割</w:t>
      </w:r>
    </w:p>
    <w:p w14:paraId="617ECEBB">
      <w:pPr>
        <w:pStyle w:val="44"/>
        <w:numPr>
          <w:ilvl w:val="1"/>
          <w:numId w:val="0"/>
        </w:numPr>
        <w:spacing w:before="156" w:after="156"/>
        <w:ind w:firstLine="420" w:firstLineChars="200"/>
        <w:rPr>
          <w:rFonts w:ascii="Times New Roman" w:eastAsia="宋体"/>
        </w:rPr>
      </w:pPr>
      <w:r>
        <w:rPr>
          <w:rFonts w:ascii="Times New Roman" w:eastAsia="宋体"/>
        </w:rPr>
        <w:t>将合成好的寡核苷酸链从支持物上化学切割下来。常用新鲜的浓氨水来裂解 CPG 上连接化合物与初始核苷间的酯键。断裂下来的寡核苷酸带有自由的3</w:t>
      </w:r>
      <w:r>
        <w:rPr>
          <w:rFonts w:ascii="Times New Roman"/>
        </w:rPr>
        <w:t>'</w:t>
      </w:r>
      <w:r>
        <w:rPr>
          <w:rFonts w:ascii="Times New Roman" w:eastAsia="宋体"/>
        </w:rPr>
        <w:t xml:space="preserve">羟基，可以参与生化反应。 </w:t>
      </w:r>
    </w:p>
    <w:p w14:paraId="7E95F4E5">
      <w:pPr>
        <w:pStyle w:val="44"/>
        <w:numPr>
          <w:ilvl w:val="1"/>
          <w:numId w:val="0"/>
        </w:numPr>
        <w:spacing w:before="156" w:after="156"/>
        <w:rPr>
          <w:rFonts w:hint="eastAsia" w:hAnsi="黑体" w:cs="黑体"/>
        </w:rPr>
      </w:pPr>
      <w:r>
        <w:rPr>
          <w:rFonts w:hint="eastAsia" w:hAnsi="黑体" w:cs="黑体"/>
        </w:rPr>
        <w:t>10.1.3.2 脱保护基</w:t>
      </w:r>
    </w:p>
    <w:p w14:paraId="4B8353D7">
      <w:pPr>
        <w:pStyle w:val="44"/>
        <w:numPr>
          <w:ilvl w:val="1"/>
          <w:numId w:val="0"/>
        </w:numPr>
        <w:spacing w:before="156" w:after="156"/>
        <w:ind w:firstLine="420" w:firstLineChars="200"/>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胸腺嘧啶不需要保护基团，但腺嘌呤、胞嘧啶和鸟嘌呤需要，因为它们含有环外伯氨基。必须除去保护基团，以便可以形成寡核苷酸与靶核酸之间的适当氢键。须在此步前选好后续的纯化方法。用新鲜的浓氨水处理较长时间以脱掉腈乙基、苯甲酰基、异丙基，用三氟乙酸脱</w:t>
      </w:r>
      <w:r>
        <w:rPr>
          <w:rFonts w:ascii="Times New Roman" w:eastAsiaTheme="minorEastAsia"/>
          <w:color w:val="000000" w:themeColor="text1"/>
          <w14:textFill>
            <w14:solidFill>
              <w14:schemeClr w14:val="tx1"/>
            </w14:solidFill>
          </w14:textFill>
        </w:rPr>
        <w:t>5'-DMT</w:t>
      </w:r>
      <w:r>
        <w:rPr>
          <w:rFonts w:hint="eastAsia" w:asciiTheme="minorEastAsia" w:hAnsiTheme="minorEastAsia" w:eastAsiaTheme="minorEastAsia" w:cstheme="minorEastAsia"/>
          <w:color w:val="000000" w:themeColor="text1"/>
          <w14:textFill>
            <w14:solidFill>
              <w14:schemeClr w14:val="tx1"/>
            </w14:solidFill>
          </w14:textFill>
        </w:rPr>
        <w:t>。</w:t>
      </w:r>
    </w:p>
    <w:p w14:paraId="58D50D9A">
      <w:pPr>
        <w:pStyle w:val="23"/>
        <w:spacing w:before="156" w:beforeLines="50" w:after="156" w:afterLines="50"/>
        <w:ind w:firstLine="0" w:firstLineChars="0"/>
        <w:rPr>
          <w:rFonts w:hint="eastAsia" w:ascii="黑体" w:hAnsi="黑体" w:eastAsia="黑体" w:cs="黑体"/>
        </w:rPr>
      </w:pPr>
      <w:r>
        <w:rPr>
          <w:rFonts w:hint="eastAsia" w:ascii="黑体" w:hAnsi="黑体" w:eastAsia="黑体" w:cs="黑体"/>
        </w:rPr>
        <w:t>10.1.4 纯化/分装</w:t>
      </w:r>
    </w:p>
    <w:p w14:paraId="0F595282">
      <w:pPr>
        <w:pStyle w:val="23"/>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通过</w:t>
      </w:r>
      <w:r>
        <w:rPr>
          <w:rFonts w:ascii="Times New Roman" w:eastAsiaTheme="minorEastAsia"/>
          <w:color w:val="000000" w:themeColor="text1"/>
          <w14:textFill>
            <w14:solidFill>
              <w14:schemeClr w14:val="tx1"/>
            </w14:solidFill>
          </w14:textFill>
        </w:rPr>
        <w:t>DSL、OPC、PAGE、HPLC</w:t>
      </w:r>
      <w:r>
        <w:rPr>
          <w:rFonts w:hint="eastAsia" w:asciiTheme="minorEastAsia" w:hAnsiTheme="minorEastAsia" w:eastAsiaTheme="minorEastAsia" w:cstheme="minorEastAsia"/>
          <w:color w:val="000000" w:themeColor="text1"/>
          <w14:textFill>
            <w14:solidFill>
              <w14:schemeClr w14:val="tx1"/>
            </w14:solidFill>
          </w14:textFill>
        </w:rPr>
        <w:t>等方式纯化引物，测定</w:t>
      </w:r>
      <w:r>
        <w:rPr>
          <w:rFonts w:ascii="Times New Roman" w:eastAsiaTheme="minorEastAsia"/>
          <w:color w:val="000000" w:themeColor="text1"/>
          <w14:textFill>
            <w14:solidFill>
              <w14:schemeClr w14:val="tx1"/>
            </w14:solidFill>
          </w14:textFill>
        </w:rPr>
        <w:t>OD260</w:t>
      </w:r>
      <w:r>
        <w:rPr>
          <w:rFonts w:hint="eastAsia" w:asciiTheme="minorEastAsia" w:hAnsiTheme="minorEastAsia" w:eastAsiaTheme="minorEastAsia" w:cstheme="minorEastAsia"/>
          <w:color w:val="000000" w:themeColor="text1"/>
          <w14:textFill>
            <w14:solidFill>
              <w14:schemeClr w14:val="tx1"/>
            </w14:solidFill>
          </w14:textFill>
        </w:rPr>
        <w:t>定量，根据要求干燥/分装。通常寡核甘酸的稳定性很好，</w:t>
      </w:r>
      <w:r>
        <w:rPr>
          <w:rFonts w:hint="eastAsia" w:ascii="Times New Roman" w:eastAsiaTheme="minorEastAsia"/>
          <w:color w:val="000000" w:themeColor="text1"/>
          <w14:textFill>
            <w14:solidFill>
              <w14:schemeClr w14:val="tx1"/>
            </w14:solidFill>
          </w14:textFill>
        </w:rPr>
        <w:t>-20</w:t>
      </w:r>
      <w:r>
        <w:rPr>
          <w:rFonts w:hint="default" w:ascii="Times New Roman" w:hAnsi="Times New Roman" w:cs="Times New Roman" w:eastAsiaTheme="minorEastAsia"/>
          <w:color w:val="000000" w:themeColor="text1"/>
          <w14:textFill>
            <w14:solidFill>
              <w14:schemeClr w14:val="tx1"/>
            </w14:solidFill>
          </w14:textFill>
        </w:rPr>
        <w:t>℃</w:t>
      </w:r>
      <w:r>
        <w:rPr>
          <w:rFonts w:hint="eastAsia" w:ascii="Times New Roman" w:eastAsiaTheme="minorEastAsia"/>
          <w:color w:val="000000" w:themeColor="text1"/>
          <w14:textFill>
            <w14:solidFill>
              <w14:schemeClr w14:val="tx1"/>
            </w14:solidFill>
          </w14:textFill>
        </w:rPr>
        <w:t>可稳定保存一年</w:t>
      </w:r>
      <w:r>
        <w:rPr>
          <w:rFonts w:hint="eastAsia" w:asciiTheme="minorEastAsia" w:hAnsiTheme="minorEastAsia" w:eastAsiaTheme="minorEastAsia" w:cstheme="minorEastAsia"/>
          <w:color w:val="000000" w:themeColor="text1"/>
          <w14:textFill>
            <w14:solidFill>
              <w14:schemeClr w14:val="tx1"/>
            </w14:solidFill>
          </w14:textFill>
        </w:rPr>
        <w:t>以上。针对不同的需求，可选择不同的纯化方式，</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不同纯化方式的选择依据</w:t>
      </w:r>
      <w:r>
        <w:rPr>
          <w:rFonts w:hint="eastAsia" w:asciiTheme="minorEastAsia" w:hAnsiTheme="minorEastAsia" w:eastAsiaTheme="minorEastAsia" w:cstheme="minorEastAsia"/>
          <w:color w:val="000000" w:themeColor="text1"/>
          <w14:textFill>
            <w14:solidFill>
              <w14:schemeClr w14:val="tx1"/>
            </w14:solidFill>
          </w14:textFill>
        </w:rPr>
        <w:t>见附录</w:t>
      </w:r>
      <w:r>
        <w:rPr>
          <w:rFonts w:ascii="Times New Roman" w:eastAsiaTheme="minorEastAsia"/>
          <w:color w:val="000000" w:themeColor="text1"/>
          <w14:textFill>
            <w14:solidFill>
              <w14:schemeClr w14:val="tx1"/>
            </w14:solidFill>
          </w14:textFill>
        </w:rPr>
        <w:t>G。</w:t>
      </w:r>
    </w:p>
    <w:p w14:paraId="35F110AB">
      <w:pPr>
        <w:pStyle w:val="44"/>
        <w:spacing w:before="156" w:after="156"/>
        <w:ind w:left="0"/>
        <w:rPr>
          <w:rFonts w:hint="eastAsia" w:hAnsi="黑体" w:cs="黑体"/>
        </w:rPr>
      </w:pPr>
      <w:r>
        <w:rPr>
          <w:rFonts w:hint="eastAsia" w:hAnsi="黑体" w:cs="黑体"/>
        </w:rPr>
        <w:t>基因合成</w:t>
      </w:r>
    </w:p>
    <w:p w14:paraId="1A5DF03E">
      <w:pPr>
        <w:pStyle w:val="44"/>
        <w:numPr>
          <w:ilvl w:val="1"/>
          <w:numId w:val="0"/>
        </w:numPr>
        <w:spacing w:before="156" w:after="156"/>
        <w:rPr>
          <w:rFonts w:hint="eastAsia" w:hAnsi="黑体" w:cs="黑体"/>
          <w:kern w:val="2"/>
        </w:rPr>
      </w:pPr>
      <w:r>
        <w:rPr>
          <w:rFonts w:hint="eastAsia" w:hAnsi="黑体" w:cs="黑体"/>
          <w:kern w:val="2"/>
        </w:rPr>
        <w:t>10.2.1 序列分析和优化</w:t>
      </w:r>
    </w:p>
    <w:p w14:paraId="1E26DE92">
      <w:pPr>
        <w:pStyle w:val="44"/>
        <w:numPr>
          <w:ilvl w:val="1"/>
          <w:numId w:val="0"/>
        </w:numPr>
        <w:spacing w:before="156" w:after="156"/>
        <w:ind w:firstLine="420" w:firstLineChars="200"/>
        <w:rPr>
          <w:rFonts w:ascii="Times New Roman" w:eastAsia="宋体"/>
        </w:rPr>
      </w:pPr>
      <w:r>
        <w:rPr>
          <w:rFonts w:hint="eastAsia" w:asciiTheme="minorEastAsia" w:hAnsiTheme="minorEastAsia" w:eastAsiaTheme="minorEastAsia" w:cstheme="minorEastAsia"/>
        </w:rPr>
        <w:t>分析订单方案与基因序列，以及方案目标与序列结构、</w:t>
      </w:r>
      <w:r>
        <w:rPr>
          <w:rFonts w:ascii="Times New Roman" w:eastAsiaTheme="minorEastAsia"/>
        </w:rPr>
        <w:t>GC</w:t>
      </w:r>
      <w:r>
        <w:rPr>
          <w:rFonts w:hint="eastAsia" w:asciiTheme="minorEastAsia" w:hAnsiTheme="minorEastAsia" w:eastAsiaTheme="minorEastAsia" w:cstheme="minorEastAsia"/>
        </w:rPr>
        <w:t>含量特征，制定合适的构建方案并设计引物。</w:t>
      </w:r>
    </w:p>
    <w:p w14:paraId="3C424711">
      <w:pPr>
        <w:pStyle w:val="8"/>
        <w:widowControl/>
        <w:spacing w:before="156" w:beforeLines="50" w:after="156" w:afterLines="50"/>
        <w:rPr>
          <w:rFonts w:hint="eastAsia" w:ascii="黑体" w:hAnsi="黑体" w:eastAsia="黑体" w:cs="黑体"/>
          <w:szCs w:val="21"/>
        </w:rPr>
      </w:pPr>
      <w:r>
        <w:rPr>
          <w:rFonts w:hint="eastAsia" w:ascii="黑体" w:hAnsi="黑体" w:eastAsia="黑体" w:cs="黑体"/>
          <w:szCs w:val="21"/>
        </w:rPr>
        <w:t>10.2.2 引物合成</w:t>
      </w:r>
    </w:p>
    <w:p w14:paraId="5E2CFF58">
      <w:pPr>
        <w:pStyle w:val="8"/>
        <w:widowControl/>
        <w:spacing w:before="156" w:beforeLines="50" w:after="156" w:afterLines="50"/>
        <w:ind w:firstLine="420" w:firstLineChars="200"/>
        <w:rPr>
          <w:rFonts w:hint="eastAsia" w:ascii="Times New Roman" w:hAnsi="Times New Roman" w:eastAsiaTheme="minorEastAsia" w:cstheme="minorEastAsia"/>
          <w:sz w:val="21"/>
          <w:szCs w:val="21"/>
        </w:rPr>
      </w:pPr>
      <w:r>
        <w:rPr>
          <w:rFonts w:hint="eastAsia" w:ascii="Times New Roman" w:hAnsi="Times New Roman" w:eastAsiaTheme="minorEastAsia" w:cstheme="minorEastAsia"/>
          <w:sz w:val="21"/>
          <w:szCs w:val="21"/>
        </w:rPr>
        <w:t>根据设计好的引物序列，</w:t>
      </w:r>
      <w:r>
        <w:rPr>
          <w:rFonts w:hint="eastAsia" w:ascii="Times New Roman" w:hAnsi="Times New Roman" w:eastAsiaTheme="minorEastAsia" w:cstheme="minorEastAsia"/>
          <w:color w:val="000000"/>
          <w:sz w:val="21"/>
          <w:szCs w:val="21"/>
          <w:shd w:val="clear" w:color="auto" w:fill="FFFFFF"/>
        </w:rPr>
        <w:t>使用</w:t>
      </w:r>
      <w:r>
        <w:rPr>
          <w:rFonts w:ascii="Times New Roman" w:hAnsi="Times New Roman" w:eastAsiaTheme="minorEastAsia"/>
          <w:color w:val="000000"/>
          <w:sz w:val="21"/>
          <w:szCs w:val="21"/>
          <w:shd w:val="clear" w:color="auto" w:fill="FFFFFF"/>
        </w:rPr>
        <w:t>Oligo</w:t>
      </w:r>
      <w:r>
        <w:rPr>
          <w:rFonts w:hint="eastAsia" w:ascii="Times New Roman" w:hAnsi="Times New Roman" w:eastAsiaTheme="minorEastAsia" w:cstheme="minorEastAsia"/>
          <w:color w:val="000000"/>
          <w:sz w:val="21"/>
          <w:szCs w:val="21"/>
          <w:shd w:val="clear" w:color="auto" w:fill="FFFFFF"/>
        </w:rPr>
        <w:t xml:space="preserve">化学合成的方式，合成带有重叠区域的 </w:t>
      </w:r>
      <w:r>
        <w:rPr>
          <w:rFonts w:ascii="Times New Roman" w:hAnsi="Times New Roman" w:eastAsiaTheme="minorEastAsia"/>
          <w:color w:val="000000"/>
          <w:sz w:val="21"/>
          <w:szCs w:val="21"/>
          <w:shd w:val="clear" w:color="auto" w:fill="FFFFFF"/>
        </w:rPr>
        <w:t>40~200 nt</w:t>
      </w:r>
      <w:r>
        <w:rPr>
          <w:rFonts w:hint="eastAsia" w:ascii="Times New Roman" w:hAnsi="Times New Roman" w:eastAsiaTheme="minorEastAsia" w:cstheme="minorEastAsia"/>
          <w:color w:val="000000"/>
          <w:sz w:val="21"/>
          <w:szCs w:val="21"/>
          <w:shd w:val="clear" w:color="auto" w:fill="FFFFFF"/>
        </w:rPr>
        <w:t>的小片段引物，</w:t>
      </w:r>
      <w:r>
        <w:rPr>
          <w:rFonts w:hint="eastAsia" w:ascii="Times New Roman" w:hAnsi="Times New Roman" w:eastAsiaTheme="minorEastAsia" w:cstheme="minorEastAsia"/>
          <w:sz w:val="21"/>
          <w:szCs w:val="21"/>
        </w:rPr>
        <w:t>并进行后续的氨解、纯化，并对引物质量进行检测（见10.1）。</w:t>
      </w:r>
    </w:p>
    <w:p w14:paraId="76AD3317">
      <w:pPr>
        <w:pStyle w:val="8"/>
        <w:spacing w:before="156" w:beforeLines="50" w:after="156" w:afterLines="50"/>
        <w:rPr>
          <w:rFonts w:hint="eastAsia" w:ascii="黑体" w:hAnsi="黑体" w:eastAsia="黑体" w:cs="黑体"/>
          <w:szCs w:val="21"/>
        </w:rPr>
      </w:pPr>
      <w:r>
        <w:rPr>
          <w:rFonts w:hint="eastAsia" w:ascii="黑体" w:hAnsi="黑体" w:eastAsia="黑体" w:cs="黑体"/>
          <w:szCs w:val="21"/>
        </w:rPr>
        <w:t>10.2.3 寡核苷酸拼接</w:t>
      </w:r>
    </w:p>
    <w:p w14:paraId="380B0BF3">
      <w:pPr>
        <w:pStyle w:val="8"/>
        <w:spacing w:before="156" w:beforeLines="50" w:after="156" w:afterLines="50"/>
        <w:ind w:firstLine="420" w:firstLineChars="200"/>
      </w:pPr>
      <w:r>
        <w:rPr>
          <w:szCs w:val="21"/>
        </w:rPr>
        <w:t>使用重叠PCR的技术，将单链的引物拼装成双链的基因片段，对于3 Kb以内的且无复杂二级结构的基因，可直接进入全长组装；如果基因全长超过3 Kb，则需要进行分片段组装。</w:t>
      </w:r>
    </w:p>
    <w:p w14:paraId="231C362F">
      <w:pPr>
        <w:pStyle w:val="44"/>
        <w:numPr>
          <w:ilvl w:val="1"/>
          <w:numId w:val="0"/>
        </w:numPr>
        <w:spacing w:before="156" w:after="156"/>
        <w:rPr>
          <w:rFonts w:hint="eastAsia" w:hAnsi="黑体" w:cs="黑体"/>
          <w:kern w:val="2"/>
        </w:rPr>
      </w:pPr>
      <w:r>
        <w:rPr>
          <w:rFonts w:hint="eastAsia" w:hAnsi="黑体" w:cs="黑体"/>
          <w:kern w:val="2"/>
        </w:rPr>
        <w:t>10.2.4 连接转化</w:t>
      </w:r>
    </w:p>
    <w:p w14:paraId="3F801E1D">
      <w:pPr>
        <w:pStyle w:val="44"/>
        <w:numPr>
          <w:ilvl w:val="1"/>
          <w:numId w:val="0"/>
        </w:numPr>
        <w:spacing w:before="156" w:after="156"/>
        <w:ind w:firstLine="420" w:firstLineChars="200"/>
        <w:rPr>
          <w:rFonts w:ascii="Times New Roman" w:eastAsia="宋体"/>
        </w:rPr>
      </w:pPr>
      <w:r>
        <w:rPr>
          <w:rFonts w:ascii="Times New Roman" w:eastAsia="宋体"/>
        </w:rPr>
        <w:t>将获取的目的基因连接到克隆载体（载体pUC57）或客户指定的目的载体上，转化到感受态细胞中，将细胞与连接产物和LB培养基混合，并在37℃摇床上以200</w:t>
      </w:r>
      <w:r>
        <w:rPr>
          <w:rFonts w:hint="eastAsia" w:ascii="Times New Roman" w:eastAsia="宋体"/>
        </w:rPr>
        <w:t xml:space="preserve"> </w:t>
      </w:r>
      <w:r>
        <w:rPr>
          <w:rFonts w:ascii="Times New Roman" w:eastAsia="宋体"/>
        </w:rPr>
        <w:t>rpm恢复，均匀涂布在具有相应抗性或其他筛选平板上，37°C下过夜培养菌落。</w:t>
      </w:r>
    </w:p>
    <w:p w14:paraId="1966C9F4">
      <w:pPr>
        <w:pStyle w:val="44"/>
        <w:numPr>
          <w:ilvl w:val="1"/>
          <w:numId w:val="0"/>
        </w:numPr>
        <w:spacing w:before="156" w:after="156"/>
        <w:rPr>
          <w:rFonts w:hint="eastAsia" w:hAnsi="黑体" w:cs="黑体"/>
          <w:kern w:val="2"/>
        </w:rPr>
      </w:pPr>
      <w:r>
        <w:rPr>
          <w:rFonts w:hint="eastAsia" w:hAnsi="黑体" w:cs="黑体"/>
          <w:kern w:val="2"/>
        </w:rPr>
        <w:t>10.2.5 阳性克隆筛选与测序</w:t>
      </w:r>
    </w:p>
    <w:p w14:paraId="747C1F99">
      <w:pPr>
        <w:pStyle w:val="44"/>
        <w:numPr>
          <w:ilvl w:val="1"/>
          <w:numId w:val="0"/>
        </w:numPr>
        <w:spacing w:before="156" w:after="156"/>
        <w:ind w:firstLine="420" w:firstLineChars="200"/>
        <w:rPr>
          <w:rFonts w:ascii="Times New Roman" w:eastAsia="宋体"/>
        </w:rPr>
      </w:pPr>
      <w:r>
        <w:rPr>
          <w:rFonts w:ascii="Times New Roman" w:eastAsia="宋体"/>
        </w:rPr>
        <w:t>将挑取的阳性克隆单菌落扩大培养并进行一代测序，测序结果与目标序列完全匹配，即表明基因序列符合要求。</w:t>
      </w:r>
    </w:p>
    <w:p w14:paraId="601C70C4">
      <w:pPr>
        <w:pStyle w:val="44"/>
        <w:numPr>
          <w:ilvl w:val="1"/>
          <w:numId w:val="0"/>
        </w:numPr>
        <w:spacing w:before="156" w:after="156"/>
        <w:jc w:val="both"/>
        <w:rPr>
          <w:rFonts w:hint="eastAsia" w:hAnsi="黑体" w:cs="黑体"/>
          <w:kern w:val="2"/>
        </w:rPr>
      </w:pPr>
      <w:r>
        <w:rPr>
          <w:rFonts w:hint="eastAsia" w:hAnsi="黑体" w:cs="黑体"/>
          <w:kern w:val="2"/>
        </w:rPr>
        <w:t>10.2.6 酶切质检</w:t>
      </w:r>
    </w:p>
    <w:p w14:paraId="415A842C">
      <w:pPr>
        <w:pStyle w:val="44"/>
        <w:numPr>
          <w:ilvl w:val="1"/>
          <w:numId w:val="0"/>
        </w:numPr>
        <w:spacing w:before="156" w:after="156"/>
        <w:ind w:firstLine="420" w:firstLineChars="200"/>
        <w:jc w:val="both"/>
        <w:rPr>
          <w:rFonts w:ascii="Times New Roman" w:eastAsia="宋体"/>
        </w:rPr>
      </w:pPr>
      <w:r>
        <w:rPr>
          <w:rFonts w:ascii="Times New Roman" w:eastAsia="宋体"/>
        </w:rPr>
        <w:t>将测序正确的质粒提交质检部门，用于酶切实验验证，酶切产物经琼脂糖凝胶电泳检测为双条带，并且条带大小与载体、目的片段大小一致，即表明质粒形态、大小符合要求。</w:t>
      </w:r>
    </w:p>
    <w:p w14:paraId="27652D8B">
      <w:pPr>
        <w:pStyle w:val="44"/>
        <w:numPr>
          <w:ilvl w:val="1"/>
          <w:numId w:val="0"/>
        </w:numPr>
        <w:spacing w:before="156" w:after="156"/>
        <w:jc w:val="both"/>
        <w:rPr>
          <w:rFonts w:hint="eastAsia" w:hAnsi="黑体" w:cs="黑体"/>
          <w:kern w:val="2"/>
        </w:rPr>
      </w:pPr>
      <w:r>
        <w:rPr>
          <w:rFonts w:hint="eastAsia" w:hAnsi="黑体" w:cs="黑体"/>
          <w:kern w:val="2"/>
        </w:rPr>
        <w:t>10.2.7 成品</w:t>
      </w:r>
    </w:p>
    <w:p w14:paraId="030CCFB3">
      <w:pPr>
        <w:pStyle w:val="23"/>
        <w:jc w:val="left"/>
        <w:rPr>
          <w:rFonts w:hint="eastAsia" w:ascii="宋体" w:hAnsi="宋体" w:cs="宋体"/>
          <w:lang w:val="en-US" w:bidi="ar-SA"/>
        </w:rPr>
      </w:pPr>
      <w:r>
        <w:rPr>
          <w:rFonts w:hint="eastAsia" w:asciiTheme="minorEastAsia" w:hAnsiTheme="minorEastAsia" w:eastAsiaTheme="minorEastAsia" w:cstheme="minorEastAsia"/>
          <w:szCs w:val="21"/>
        </w:rPr>
        <w:t>将测序正确、酶切质检正确的高纯度冻干质粒，含有重组质粒的穿刺菌或甘油菌以及报告（含测序结果、</w:t>
      </w:r>
      <w:r>
        <w:rPr>
          <w:rFonts w:ascii="Times New Roman" w:eastAsiaTheme="minorEastAsia"/>
          <w:szCs w:val="21"/>
        </w:rPr>
        <w:t>COA</w:t>
      </w:r>
      <w:r>
        <w:rPr>
          <w:rFonts w:hint="eastAsia" w:asciiTheme="minorEastAsia" w:hAnsiTheme="minorEastAsia" w:eastAsiaTheme="minorEastAsia" w:cstheme="minorEastAsia"/>
          <w:szCs w:val="21"/>
        </w:rPr>
        <w:t>报告、</w:t>
      </w:r>
      <w:r>
        <w:rPr>
          <w:rFonts w:hint="eastAsia" w:ascii="Times New Roman" w:eastAsiaTheme="minorEastAsia"/>
          <w:szCs w:val="21"/>
          <w:lang w:val="en-US" w:eastAsia="zh-CN"/>
        </w:rPr>
        <w:t>SQD</w:t>
      </w:r>
      <w:r>
        <w:rPr>
          <w:rFonts w:hint="eastAsia" w:asciiTheme="minorEastAsia" w:hAnsiTheme="minorEastAsia" w:eastAsiaTheme="minorEastAsia" w:cstheme="minorEastAsia"/>
          <w:szCs w:val="21"/>
        </w:rPr>
        <w:t>文件、</w:t>
      </w:r>
      <w:r>
        <w:rPr>
          <w:rFonts w:hint="eastAsia" w:ascii="Times New Roman" w:eastAsiaTheme="minorEastAsia"/>
          <w:szCs w:val="21"/>
          <w:lang w:val="en-US" w:eastAsia="zh-CN"/>
        </w:rPr>
        <w:t>SEQ</w:t>
      </w:r>
      <w:r>
        <w:rPr>
          <w:rFonts w:hint="eastAsia" w:asciiTheme="minorEastAsia" w:hAnsiTheme="minorEastAsia" w:eastAsiaTheme="minorEastAsia" w:cstheme="minorEastAsia"/>
          <w:szCs w:val="21"/>
        </w:rPr>
        <w:t>文件等）。</w:t>
      </w:r>
    </w:p>
    <w:p w14:paraId="1757B9F4">
      <w:pPr>
        <w:jc w:val="center"/>
        <w:rPr>
          <w:rFonts w:ascii="黑体" w:eastAsia="黑体"/>
          <w:kern w:val="0"/>
          <w:sz w:val="32"/>
          <w:szCs w:val="20"/>
        </w:rPr>
      </w:pPr>
      <w:r>
        <w:rPr>
          <w:rFonts w:hint="eastAsia" w:eastAsia="黑体"/>
          <w:szCs w:val="21"/>
        </w:rPr>
        <w:br w:type="page"/>
      </w:r>
    </w:p>
    <w:p w14:paraId="63B0B2CB">
      <w:pPr>
        <w:pStyle w:val="2"/>
        <w:bidi w:val="0"/>
      </w:pPr>
    </w:p>
    <w:p w14:paraId="77BF3E01">
      <w:pPr>
        <w:pStyle w:val="2"/>
        <w:bidi w:val="0"/>
        <w:jc w:val="center"/>
        <w:rPr>
          <w:rFonts w:hint="eastAsia" w:ascii="黑体" w:hAnsi="黑体" w:eastAsia="黑体" w:cs="黑体"/>
          <w:color w:val="auto"/>
        </w:rPr>
      </w:pPr>
      <w:r>
        <w:rPr>
          <w:rFonts w:hint="eastAsia" w:ascii="黑体" w:hAnsi="黑体" w:eastAsia="黑体" w:cs="黑体"/>
          <w:color w:val="auto"/>
        </w:rPr>
        <w:t>附录A</w:t>
      </w:r>
    </w:p>
    <w:p w14:paraId="5FCCA0F8">
      <w:pPr>
        <w:pStyle w:val="2"/>
        <w:bidi w:val="0"/>
        <w:jc w:val="center"/>
        <w:rPr>
          <w:rFonts w:hint="eastAsia" w:ascii="黑体" w:hAnsi="黑体" w:eastAsia="黑体" w:cs="黑体"/>
          <w:color w:val="auto"/>
        </w:rPr>
      </w:pPr>
      <w:r>
        <w:rPr>
          <w:rFonts w:hint="eastAsia" w:ascii="黑体" w:hAnsi="黑体" w:eastAsia="黑体" w:cs="黑体"/>
          <w:color w:val="auto"/>
        </w:rPr>
        <w:t>（资料性）</w:t>
      </w:r>
    </w:p>
    <w:p w14:paraId="0BEB959D">
      <w:pPr>
        <w:pStyle w:val="2"/>
        <w:bidi w:val="0"/>
        <w:jc w:val="center"/>
        <w:rPr>
          <w:rFonts w:hint="eastAsia" w:ascii="黑体" w:hAnsi="黑体" w:eastAsia="黑体" w:cs="黑体"/>
          <w:color w:val="auto"/>
        </w:rPr>
      </w:pPr>
      <w:r>
        <w:rPr>
          <w:rFonts w:hint="eastAsia" w:ascii="黑体" w:hAnsi="黑体" w:eastAsia="黑体" w:cs="黑体"/>
          <w:color w:val="auto"/>
        </w:rPr>
        <w:t>主要仪器设备</w:t>
      </w:r>
    </w:p>
    <w:p w14:paraId="36529D9A">
      <w:pPr>
        <w:pStyle w:val="2"/>
        <w:jc w:val="left"/>
        <w:rPr>
          <w:rFonts w:hint="eastAsia" w:ascii="黑体" w:hAnsi="黑体" w:eastAsia="黑体" w:cs="黑体"/>
          <w:color w:val="auto"/>
          <w:kern w:val="0"/>
          <w:szCs w:val="20"/>
        </w:rPr>
      </w:pPr>
    </w:p>
    <w:p w14:paraId="2FC3A84E">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A.1 离心机</w:t>
      </w:r>
    </w:p>
    <w:p w14:paraId="105446D2">
      <w:pPr>
        <w:pStyle w:val="2"/>
        <w:ind w:firstLine="420" w:firstLineChars="200"/>
        <w:jc w:val="left"/>
        <w:rPr>
          <w:color w:val="auto"/>
          <w:kern w:val="0"/>
          <w:szCs w:val="20"/>
        </w:rPr>
      </w:pPr>
      <w:r>
        <w:rPr>
          <w:color w:val="auto"/>
          <w:kern w:val="0"/>
          <w:szCs w:val="20"/>
        </w:rPr>
        <w:t>实验室通用离心机，应符合YY/T 0657-2008的要求。</w:t>
      </w:r>
    </w:p>
    <w:p w14:paraId="433E1596">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.2 低温离心机</w:t>
      </w:r>
    </w:p>
    <w:p w14:paraId="33308F53">
      <w:pPr>
        <w:pStyle w:val="2"/>
        <w:ind w:firstLine="210" w:firstLineChars="100"/>
        <w:jc w:val="left"/>
        <w:rPr>
          <w:color w:val="auto"/>
          <w:kern w:val="0"/>
          <w:szCs w:val="20"/>
        </w:rPr>
      </w:pPr>
      <w:r>
        <w:rPr>
          <w:color w:val="auto"/>
          <w:kern w:val="0"/>
          <w:szCs w:val="20"/>
        </w:rPr>
        <w:t xml:space="preserve">  应符合YY/T 0657-2008的要求。</w:t>
      </w:r>
    </w:p>
    <w:p w14:paraId="4E80C079">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.3 PCR仪</w:t>
      </w:r>
    </w:p>
    <w:p w14:paraId="3EF1316B">
      <w:pPr>
        <w:pStyle w:val="2"/>
        <w:ind w:firstLine="210" w:firstLineChars="100"/>
        <w:jc w:val="left"/>
        <w:rPr>
          <w:color w:val="auto"/>
          <w:kern w:val="0"/>
          <w:szCs w:val="20"/>
        </w:rPr>
      </w:pPr>
      <w:r>
        <w:rPr>
          <w:color w:val="auto"/>
          <w:kern w:val="0"/>
          <w:szCs w:val="20"/>
        </w:rPr>
        <w:t xml:space="preserve">  应符合YY/T 1173-2010的要求。</w:t>
      </w:r>
    </w:p>
    <w:p w14:paraId="41558A06">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.4 紫外分光光度计</w:t>
      </w:r>
    </w:p>
    <w:p w14:paraId="115E9B36">
      <w:pPr>
        <w:pStyle w:val="2"/>
        <w:ind w:firstLine="210" w:firstLineChars="100"/>
        <w:jc w:val="left"/>
        <w:rPr>
          <w:color w:val="auto"/>
          <w:kern w:val="0"/>
          <w:szCs w:val="20"/>
        </w:rPr>
      </w:pPr>
      <w:r>
        <w:rPr>
          <w:color w:val="auto"/>
          <w:kern w:val="0"/>
          <w:szCs w:val="20"/>
        </w:rPr>
        <w:t xml:space="preserve">  应符合JB/T 6777的要求。</w:t>
      </w:r>
    </w:p>
    <w:p w14:paraId="574E346E">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.5 电泳装置</w:t>
      </w:r>
    </w:p>
    <w:p w14:paraId="193A0362">
      <w:pPr>
        <w:pStyle w:val="2"/>
        <w:ind w:firstLine="210" w:firstLineChars="100"/>
        <w:jc w:val="left"/>
        <w:rPr>
          <w:color w:val="auto"/>
          <w:kern w:val="0"/>
          <w:szCs w:val="20"/>
        </w:rPr>
      </w:pPr>
      <w:r>
        <w:rPr>
          <w:color w:val="auto"/>
          <w:kern w:val="0"/>
          <w:szCs w:val="20"/>
        </w:rPr>
        <w:t xml:space="preserve">  应符合YY/T 0087-2004的要求</w:t>
      </w:r>
      <w:r>
        <w:rPr>
          <w:rFonts w:hint="eastAsia"/>
          <w:color w:val="auto"/>
          <w:kern w:val="0"/>
          <w:szCs w:val="20"/>
        </w:rPr>
        <w:t>。</w:t>
      </w:r>
    </w:p>
    <w:p w14:paraId="7C2A9C23">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.6 通风橱</w:t>
      </w:r>
    </w:p>
    <w:p w14:paraId="78E6CDD7">
      <w:pPr>
        <w:pStyle w:val="2"/>
        <w:ind w:firstLine="210" w:firstLineChars="100"/>
        <w:jc w:val="left"/>
        <w:rPr>
          <w:color w:val="auto"/>
          <w:kern w:val="0"/>
          <w:szCs w:val="20"/>
        </w:rPr>
      </w:pPr>
      <w:r>
        <w:rPr>
          <w:color w:val="auto"/>
          <w:kern w:val="0"/>
          <w:szCs w:val="20"/>
        </w:rPr>
        <w:t xml:space="preserve">  应符合YY 0569的要求。</w:t>
      </w:r>
    </w:p>
    <w:p w14:paraId="643BB7C4">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.7 引物合成仪</w:t>
      </w:r>
    </w:p>
    <w:p w14:paraId="67A45B69">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.8 引物纯化仪</w:t>
      </w:r>
    </w:p>
    <w:p w14:paraId="677F4121">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A.9 电泳凝胶成像系统</w:t>
      </w:r>
    </w:p>
    <w:p w14:paraId="4624C8E8">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A.10 一代测序仪</w:t>
      </w:r>
    </w:p>
    <w:p w14:paraId="7AD6139F">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A.11 可调移液器</w:t>
      </w:r>
    </w:p>
    <w:p w14:paraId="7C09EBCE">
      <w:pPr>
        <w:pStyle w:val="2"/>
        <w:ind w:firstLine="420" w:firstLineChars="200"/>
        <w:jc w:val="left"/>
        <w:rPr>
          <w:color w:val="auto"/>
          <w:kern w:val="0"/>
          <w:szCs w:val="20"/>
        </w:rPr>
      </w:pPr>
      <w:r>
        <w:rPr>
          <w:color w:val="auto"/>
          <w:kern w:val="0"/>
          <w:szCs w:val="20"/>
        </w:rPr>
        <w:t>应符合JJG 646的要求。</w:t>
      </w:r>
    </w:p>
    <w:p w14:paraId="76263D9E">
      <w:pPr>
        <w:pStyle w:val="2"/>
        <w:jc w:val="left"/>
        <w:rPr>
          <w:rFonts w:hint="eastAsia" w:ascii="黑体" w:hAnsi="黑体" w:eastAsia="黑体" w:cs="黑体"/>
          <w:color w:val="auto"/>
          <w:kern w:val="0"/>
          <w:szCs w:val="20"/>
        </w:rPr>
      </w:pPr>
      <w:r>
        <w:rPr>
          <w:rFonts w:hint="eastAsia" w:ascii="黑体" w:hAnsi="黑体" w:eastAsia="黑体" w:cs="黑体"/>
          <w:color w:val="auto"/>
          <w:kern w:val="0"/>
          <w:szCs w:val="20"/>
        </w:rPr>
        <w:t>A</w:t>
      </w:r>
      <w:r>
        <w:rPr>
          <w:rFonts w:ascii="黑体" w:hAnsi="黑体" w:eastAsia="黑体" w:cs="黑体"/>
          <w:color w:val="auto"/>
          <w:kern w:val="0"/>
          <w:szCs w:val="20"/>
        </w:rPr>
        <w:t>.</w:t>
      </w:r>
      <w:r>
        <w:rPr>
          <w:rFonts w:hint="eastAsia" w:ascii="黑体" w:hAnsi="黑体" w:eastAsia="黑体" w:cs="黑体"/>
          <w:color w:val="auto"/>
          <w:kern w:val="0"/>
          <w:szCs w:val="20"/>
        </w:rPr>
        <w:t>12</w:t>
      </w:r>
      <w:r>
        <w:rPr>
          <w:rFonts w:ascii="黑体" w:hAnsi="黑体" w:eastAsia="黑体" w:cs="黑体"/>
          <w:color w:val="auto"/>
          <w:kern w:val="0"/>
          <w:szCs w:val="20"/>
        </w:rPr>
        <w:t xml:space="preserve"> 二代测序仪</w:t>
      </w:r>
    </w:p>
    <w:p w14:paraId="49C8C367">
      <w:pPr>
        <w:pStyle w:val="2"/>
        <w:jc w:val="left"/>
        <w:rPr>
          <w:color w:val="auto"/>
          <w:kern w:val="0"/>
          <w:szCs w:val="20"/>
        </w:rPr>
      </w:pPr>
      <w:r>
        <w:rPr>
          <w:color w:val="auto"/>
          <w:kern w:val="0"/>
          <w:szCs w:val="20"/>
        </w:rPr>
        <w:t xml:space="preserve">    行业内不同的二代测序仪采用不同的大规模扩增方法，较为常见的有EPCR扩增、桥式PCR扩增，可根据具体的扩增方法选择符合国家或行业内现行有效标准的大规模扩增仪器设备。二代测序技术中，基因测序仪应至少达到下表的要求：</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2373"/>
        <w:gridCol w:w="6082"/>
      </w:tblGrid>
      <w:tr w14:paraId="24152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6" w:type="dxa"/>
            <w:vAlign w:val="center"/>
          </w:tcPr>
          <w:p w14:paraId="2EE97E35">
            <w:pPr>
              <w:pStyle w:val="2"/>
              <w:jc w:val="center"/>
              <w:rPr>
                <w:rFonts w:ascii="宋体"/>
                <w:color w:val="auto"/>
                <w:kern w:val="0"/>
                <w:szCs w:val="20"/>
              </w:rPr>
            </w:pPr>
            <w:r>
              <w:rPr>
                <w:rFonts w:ascii="宋体"/>
                <w:color w:val="auto"/>
                <w:kern w:val="0"/>
                <w:szCs w:val="20"/>
              </w:rPr>
              <w:t>序号</w:t>
            </w:r>
          </w:p>
        </w:tc>
        <w:tc>
          <w:tcPr>
            <w:tcW w:w="2373" w:type="dxa"/>
            <w:vAlign w:val="center"/>
          </w:tcPr>
          <w:p w14:paraId="1C839E9E">
            <w:pPr>
              <w:pStyle w:val="2"/>
              <w:jc w:val="center"/>
              <w:rPr>
                <w:rFonts w:ascii="宋体"/>
                <w:color w:val="auto"/>
                <w:kern w:val="0"/>
                <w:szCs w:val="20"/>
              </w:rPr>
            </w:pPr>
            <w:r>
              <w:rPr>
                <w:rFonts w:ascii="宋体"/>
                <w:color w:val="auto"/>
                <w:kern w:val="0"/>
                <w:szCs w:val="20"/>
              </w:rPr>
              <w:t>基本参数</w:t>
            </w:r>
          </w:p>
        </w:tc>
        <w:tc>
          <w:tcPr>
            <w:tcW w:w="6082" w:type="dxa"/>
          </w:tcPr>
          <w:p w14:paraId="0E146258">
            <w:pPr>
              <w:pStyle w:val="2"/>
              <w:jc w:val="center"/>
              <w:rPr>
                <w:rFonts w:ascii="宋体"/>
                <w:color w:val="auto"/>
                <w:kern w:val="0"/>
                <w:szCs w:val="20"/>
              </w:rPr>
            </w:pPr>
            <w:r>
              <w:rPr>
                <w:rFonts w:ascii="宋体"/>
                <w:color w:val="auto"/>
                <w:kern w:val="0"/>
                <w:szCs w:val="20"/>
              </w:rPr>
              <w:t>说明</w:t>
            </w:r>
          </w:p>
        </w:tc>
      </w:tr>
      <w:tr w14:paraId="5967A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6" w:type="dxa"/>
            <w:vAlign w:val="center"/>
          </w:tcPr>
          <w:p w14:paraId="3E65BCC8">
            <w:pPr>
              <w:pStyle w:val="2"/>
              <w:jc w:val="center"/>
              <w:rPr>
                <w:rFonts w:ascii="宋体"/>
                <w:color w:val="auto"/>
                <w:kern w:val="0"/>
                <w:szCs w:val="20"/>
              </w:rPr>
            </w:pPr>
            <w:r>
              <w:rPr>
                <w:rFonts w:ascii="宋体"/>
                <w:color w:val="auto"/>
                <w:kern w:val="0"/>
                <w:szCs w:val="20"/>
              </w:rPr>
              <w:t>1</w:t>
            </w:r>
          </w:p>
        </w:tc>
        <w:tc>
          <w:tcPr>
            <w:tcW w:w="2373" w:type="dxa"/>
            <w:vAlign w:val="center"/>
          </w:tcPr>
          <w:p w14:paraId="090AD2F4">
            <w:pPr>
              <w:pStyle w:val="2"/>
              <w:jc w:val="center"/>
              <w:rPr>
                <w:rFonts w:ascii="宋体"/>
                <w:color w:val="auto"/>
                <w:kern w:val="0"/>
                <w:szCs w:val="20"/>
              </w:rPr>
            </w:pPr>
            <w:r>
              <w:rPr>
                <w:rFonts w:ascii="宋体"/>
                <w:color w:val="auto"/>
                <w:kern w:val="0"/>
                <w:szCs w:val="20"/>
              </w:rPr>
              <w:t>测序通量</w:t>
            </w:r>
          </w:p>
        </w:tc>
        <w:tc>
          <w:tcPr>
            <w:tcW w:w="6082" w:type="dxa"/>
          </w:tcPr>
          <w:p w14:paraId="6BBF37C7">
            <w:pPr>
              <w:pStyle w:val="2"/>
              <w:jc w:val="center"/>
              <w:rPr>
                <w:rFonts w:ascii="宋体"/>
                <w:color w:val="auto"/>
                <w:kern w:val="0"/>
                <w:szCs w:val="20"/>
              </w:rPr>
            </w:pPr>
            <w:r>
              <w:rPr>
                <w:rFonts w:ascii="宋体"/>
                <w:color w:val="auto"/>
                <w:kern w:val="0"/>
                <w:szCs w:val="20"/>
              </w:rPr>
              <w:t>≥100 M bp</w:t>
            </w:r>
          </w:p>
        </w:tc>
      </w:tr>
      <w:tr w14:paraId="63509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6" w:type="dxa"/>
            <w:vAlign w:val="center"/>
          </w:tcPr>
          <w:p w14:paraId="2CCC031B">
            <w:pPr>
              <w:pStyle w:val="2"/>
              <w:jc w:val="center"/>
              <w:rPr>
                <w:rFonts w:ascii="宋体"/>
                <w:color w:val="auto"/>
                <w:kern w:val="0"/>
                <w:szCs w:val="20"/>
              </w:rPr>
            </w:pPr>
            <w:r>
              <w:rPr>
                <w:rFonts w:ascii="宋体"/>
                <w:color w:val="auto"/>
                <w:kern w:val="0"/>
                <w:szCs w:val="20"/>
              </w:rPr>
              <w:t>2</w:t>
            </w:r>
          </w:p>
        </w:tc>
        <w:tc>
          <w:tcPr>
            <w:tcW w:w="2373" w:type="dxa"/>
            <w:vAlign w:val="center"/>
          </w:tcPr>
          <w:p w14:paraId="6F8E594A">
            <w:pPr>
              <w:pStyle w:val="2"/>
              <w:jc w:val="center"/>
              <w:rPr>
                <w:rFonts w:ascii="宋体"/>
                <w:color w:val="auto"/>
                <w:kern w:val="0"/>
                <w:szCs w:val="20"/>
              </w:rPr>
            </w:pPr>
            <w:r>
              <w:rPr>
                <w:rFonts w:ascii="宋体"/>
                <w:color w:val="auto"/>
                <w:kern w:val="0"/>
                <w:szCs w:val="20"/>
              </w:rPr>
              <w:t>碱基识别质量</w:t>
            </w:r>
          </w:p>
        </w:tc>
        <w:tc>
          <w:tcPr>
            <w:tcW w:w="6082" w:type="dxa"/>
          </w:tcPr>
          <w:p w14:paraId="3720C8E5">
            <w:pPr>
              <w:pStyle w:val="2"/>
              <w:jc w:val="center"/>
              <w:rPr>
                <w:rFonts w:ascii="宋体"/>
                <w:color w:val="auto"/>
                <w:kern w:val="0"/>
                <w:szCs w:val="20"/>
              </w:rPr>
            </w:pPr>
            <w:r>
              <w:rPr>
                <w:rFonts w:ascii="宋体"/>
                <w:color w:val="auto"/>
                <w:kern w:val="0"/>
                <w:szCs w:val="20"/>
              </w:rPr>
              <w:t>&gt;20</w:t>
            </w:r>
          </w:p>
        </w:tc>
      </w:tr>
      <w:tr w14:paraId="22A25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6" w:type="dxa"/>
            <w:vAlign w:val="center"/>
          </w:tcPr>
          <w:p w14:paraId="194563FA">
            <w:pPr>
              <w:pStyle w:val="2"/>
              <w:jc w:val="center"/>
              <w:rPr>
                <w:rFonts w:ascii="宋体"/>
                <w:color w:val="auto"/>
                <w:kern w:val="0"/>
                <w:szCs w:val="20"/>
              </w:rPr>
            </w:pPr>
            <w:r>
              <w:rPr>
                <w:rFonts w:ascii="宋体"/>
                <w:color w:val="auto"/>
                <w:kern w:val="0"/>
                <w:szCs w:val="20"/>
              </w:rPr>
              <w:t>3</w:t>
            </w:r>
          </w:p>
        </w:tc>
        <w:tc>
          <w:tcPr>
            <w:tcW w:w="2373" w:type="dxa"/>
            <w:vAlign w:val="center"/>
          </w:tcPr>
          <w:p w14:paraId="37368F27">
            <w:pPr>
              <w:pStyle w:val="2"/>
              <w:jc w:val="center"/>
              <w:rPr>
                <w:rFonts w:ascii="宋体"/>
                <w:color w:val="auto"/>
                <w:kern w:val="0"/>
                <w:szCs w:val="20"/>
              </w:rPr>
            </w:pPr>
            <w:r>
              <w:rPr>
                <w:rFonts w:ascii="宋体"/>
                <w:color w:val="auto"/>
                <w:kern w:val="0"/>
                <w:szCs w:val="20"/>
              </w:rPr>
              <w:t>测序准确率</w:t>
            </w:r>
          </w:p>
        </w:tc>
        <w:tc>
          <w:tcPr>
            <w:tcW w:w="6082" w:type="dxa"/>
          </w:tcPr>
          <w:p w14:paraId="1CEB1088">
            <w:pPr>
              <w:pStyle w:val="2"/>
              <w:jc w:val="center"/>
              <w:rPr>
                <w:rFonts w:ascii="宋体"/>
                <w:color w:val="auto"/>
                <w:kern w:val="0"/>
                <w:szCs w:val="20"/>
              </w:rPr>
            </w:pPr>
            <w:r>
              <w:rPr>
                <w:rFonts w:ascii="宋体"/>
                <w:color w:val="auto"/>
                <w:kern w:val="0"/>
                <w:szCs w:val="20"/>
              </w:rPr>
              <w:t>Q值过滤之后的准确率≥99.9%</w:t>
            </w:r>
          </w:p>
        </w:tc>
      </w:tr>
      <w:tr w14:paraId="282FB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656" w:type="dxa"/>
            <w:vAlign w:val="center"/>
          </w:tcPr>
          <w:p w14:paraId="4686DE72">
            <w:pPr>
              <w:pStyle w:val="2"/>
              <w:jc w:val="center"/>
              <w:rPr>
                <w:rFonts w:ascii="宋体"/>
                <w:color w:val="auto"/>
                <w:kern w:val="0"/>
                <w:szCs w:val="20"/>
              </w:rPr>
            </w:pPr>
            <w:r>
              <w:rPr>
                <w:rFonts w:ascii="宋体"/>
                <w:color w:val="auto"/>
                <w:kern w:val="0"/>
                <w:szCs w:val="20"/>
              </w:rPr>
              <w:t>4</w:t>
            </w:r>
          </w:p>
        </w:tc>
        <w:tc>
          <w:tcPr>
            <w:tcW w:w="2373" w:type="dxa"/>
            <w:vAlign w:val="center"/>
          </w:tcPr>
          <w:p w14:paraId="72C86A80">
            <w:pPr>
              <w:pStyle w:val="2"/>
              <w:jc w:val="center"/>
              <w:rPr>
                <w:rFonts w:ascii="宋体"/>
                <w:color w:val="auto"/>
                <w:kern w:val="0"/>
                <w:szCs w:val="20"/>
              </w:rPr>
            </w:pPr>
            <w:r>
              <w:rPr>
                <w:rFonts w:ascii="宋体"/>
                <w:color w:val="auto"/>
                <w:kern w:val="0"/>
                <w:szCs w:val="20"/>
              </w:rPr>
              <w:t>Fluid cell 升降温速度</w:t>
            </w:r>
          </w:p>
        </w:tc>
        <w:tc>
          <w:tcPr>
            <w:tcW w:w="6082" w:type="dxa"/>
          </w:tcPr>
          <w:p w14:paraId="21F198E4">
            <w:pPr>
              <w:pStyle w:val="2"/>
              <w:jc w:val="center"/>
              <w:rPr>
                <w:rFonts w:ascii="宋体"/>
                <w:color w:val="auto"/>
                <w:kern w:val="0"/>
                <w:szCs w:val="20"/>
              </w:rPr>
            </w:pPr>
            <w:r>
              <w:rPr>
                <w:rFonts w:ascii="宋体"/>
                <w:color w:val="auto"/>
                <w:kern w:val="0"/>
                <w:szCs w:val="20"/>
              </w:rPr>
              <w:t>室温25℃条件下，Fluid cell温度从25℃升到65℃的时间≤50s</w:t>
            </w:r>
          </w:p>
          <w:p w14:paraId="7CB3B95F">
            <w:pPr>
              <w:pStyle w:val="2"/>
              <w:jc w:val="center"/>
              <w:rPr>
                <w:rFonts w:ascii="宋体"/>
                <w:color w:val="auto"/>
                <w:kern w:val="0"/>
                <w:szCs w:val="20"/>
              </w:rPr>
            </w:pPr>
            <w:r>
              <w:rPr>
                <w:rFonts w:ascii="宋体"/>
                <w:color w:val="auto"/>
                <w:kern w:val="0"/>
                <w:szCs w:val="20"/>
              </w:rPr>
              <w:t>室温25℃条件下，Fluid cell温度从65℃升到25℃的时间≤250s</w:t>
            </w:r>
          </w:p>
        </w:tc>
      </w:tr>
      <w:tr w14:paraId="37F8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11" w:type="dxa"/>
            <w:gridSpan w:val="3"/>
          </w:tcPr>
          <w:p w14:paraId="09CE02CB">
            <w:pPr>
              <w:pStyle w:val="2"/>
              <w:jc w:val="left"/>
              <w:rPr>
                <w:rFonts w:ascii="宋体"/>
                <w:color w:val="auto"/>
                <w:kern w:val="0"/>
                <w:szCs w:val="20"/>
              </w:rPr>
            </w:pPr>
            <w:r>
              <w:rPr>
                <w:rFonts w:hint="eastAsia" w:ascii="黑体" w:hAnsi="黑体" w:eastAsia="黑体" w:cs="黑体"/>
                <w:color w:val="auto"/>
                <w:kern w:val="0"/>
                <w:sz w:val="18"/>
                <w:szCs w:val="18"/>
              </w:rPr>
              <w:t>注</w:t>
            </w:r>
            <w:r>
              <w:rPr>
                <w:rFonts w:hint="eastAsia" w:ascii="黑体" w:hAnsi="黑体" w:eastAsia="黑体" w:cs="黑体"/>
                <w:color w:val="auto"/>
                <w:kern w:val="0"/>
                <w:sz w:val="18"/>
                <w:szCs w:val="18"/>
                <w:lang w:val="en-US" w:eastAsia="zh-CN"/>
              </w:rPr>
              <w:t>1</w:t>
            </w:r>
            <w:r>
              <w:rPr>
                <w:rFonts w:hint="eastAsia" w:ascii="黑体" w:hAnsi="黑体" w:eastAsia="黑体" w:cs="黑体"/>
                <w:color w:val="auto"/>
                <w:kern w:val="0"/>
                <w:sz w:val="18"/>
                <w:szCs w:val="18"/>
              </w:rPr>
              <w:t>：</w:t>
            </w:r>
            <w:r>
              <w:rPr>
                <w:rFonts w:hint="eastAsia" w:ascii="宋体" w:hAnsi="宋体" w:eastAsia="宋体" w:cs="宋体"/>
                <w:color w:val="auto"/>
                <w:kern w:val="0"/>
                <w:sz w:val="18"/>
                <w:szCs w:val="18"/>
              </w:rPr>
              <w:t>Q值过滤，即去除低质量的测序结果，保留较为可信的测序结果。</w:t>
            </w:r>
          </w:p>
        </w:tc>
      </w:tr>
    </w:tbl>
    <w:p w14:paraId="6151CFA5">
      <w:pPr>
        <w:pStyle w:val="2"/>
        <w:bidi w:val="0"/>
      </w:pPr>
    </w:p>
    <w:p w14:paraId="7CE1EFAC">
      <w:pPr>
        <w:pStyle w:val="2"/>
        <w:bidi w:val="0"/>
        <w:jc w:val="center"/>
        <w:rPr>
          <w:rFonts w:hint="eastAsia" w:ascii="黑体" w:hAnsi="黑体" w:eastAsia="黑体" w:cs="黑体"/>
          <w:color w:val="auto"/>
        </w:rPr>
      </w:pPr>
      <w:r>
        <w:rPr>
          <w:rFonts w:hint="eastAsia" w:ascii="黑体" w:hAnsi="黑体" w:eastAsia="黑体" w:cs="黑体"/>
          <w:color w:val="auto"/>
        </w:rPr>
        <w:t>附录B</w:t>
      </w:r>
    </w:p>
    <w:p w14:paraId="24B91D6A">
      <w:pPr>
        <w:pStyle w:val="2"/>
        <w:bidi w:val="0"/>
        <w:jc w:val="center"/>
        <w:rPr>
          <w:rFonts w:hint="eastAsia" w:ascii="黑体" w:hAnsi="黑体" w:eastAsia="黑体" w:cs="黑体"/>
          <w:color w:val="auto"/>
        </w:rPr>
      </w:pPr>
      <w:r>
        <w:rPr>
          <w:rFonts w:hint="eastAsia" w:ascii="黑体" w:hAnsi="黑体" w:eastAsia="黑体" w:cs="黑体"/>
          <w:color w:val="auto"/>
        </w:rPr>
        <w:t>（资料性）</w:t>
      </w:r>
    </w:p>
    <w:p w14:paraId="020D142D">
      <w:pPr>
        <w:pStyle w:val="2"/>
        <w:bidi w:val="0"/>
        <w:jc w:val="center"/>
        <w:rPr>
          <w:rFonts w:hint="eastAsia" w:ascii="黑体" w:hAnsi="黑体" w:eastAsia="黑体" w:cs="黑体"/>
          <w:color w:val="auto"/>
        </w:rPr>
      </w:pPr>
      <w:r>
        <w:rPr>
          <w:rFonts w:hint="eastAsia" w:ascii="黑体" w:hAnsi="黑体" w:eastAsia="黑体" w:cs="黑体"/>
          <w:color w:val="auto"/>
        </w:rPr>
        <w:t>主要试剂及溶液</w:t>
      </w:r>
    </w:p>
    <w:p w14:paraId="06ED0B66">
      <w:pPr>
        <w:pStyle w:val="2"/>
      </w:pPr>
    </w:p>
    <w:p w14:paraId="10467980">
      <w:pPr>
        <w:pStyle w:val="47"/>
        <w:numPr>
          <w:ilvl w:val="0"/>
          <w:numId w:val="0"/>
        </w:numPr>
        <w:spacing w:before="156" w:beforeLines="50" w:after="156" w:afterLines="50"/>
      </w:pPr>
      <w:r>
        <w:rPr>
          <w:rFonts w:hint="eastAsia" w:hAnsi="黑体" w:cs="黑体"/>
        </w:rPr>
        <w:t>B.1</w:t>
      </w:r>
      <w:r>
        <w:rPr>
          <w:rFonts w:hint="eastAsia" w:ascii="Times New Roman"/>
        </w:rPr>
        <w:t xml:space="preserve"> </w:t>
      </w:r>
      <w:r>
        <w:rPr>
          <w:rFonts w:ascii="Times New Roman"/>
        </w:rPr>
        <w:t xml:space="preserve"> </w:t>
      </w:r>
      <w:r>
        <w:rPr>
          <w:rFonts w:hint="eastAsia" w:ascii="Times New Roman"/>
        </w:rPr>
        <w:t>CTAB裂解液</w:t>
      </w:r>
    </w:p>
    <w:p w14:paraId="57749B16">
      <w:pPr>
        <w:pStyle w:val="23"/>
        <w:spacing w:before="156" w:beforeLines="50" w:after="156" w:afterLines="50"/>
        <w:rPr>
          <w:rFonts w:ascii="Times New Roman"/>
        </w:rPr>
      </w:pPr>
      <w:r>
        <w:rPr>
          <w:rFonts w:hint="eastAsia" w:ascii="Times New Roman"/>
        </w:rPr>
        <w:t>Tris-H</w:t>
      </w:r>
      <w:r>
        <w:rPr>
          <w:rFonts w:hint="eastAsia" w:ascii="Times New Roman"/>
          <w:lang w:val="en-US" w:eastAsia="zh-CN"/>
        </w:rPr>
        <w:t>C</w:t>
      </w:r>
      <w:r>
        <w:rPr>
          <w:rFonts w:hint="eastAsia" w:ascii="Times New Roman"/>
        </w:rPr>
        <w:t>l (PH8.0) 提供一个缓冲环境，防止核酸被破坏；EDTA螯合Mg</w:t>
      </w:r>
      <w:r>
        <w:rPr>
          <w:rFonts w:hint="eastAsia" w:ascii="Times New Roman"/>
          <w:vertAlign w:val="superscript"/>
        </w:rPr>
        <w:t>2+</w:t>
      </w:r>
      <w:r>
        <w:rPr>
          <w:rFonts w:hint="eastAsia" w:ascii="Times New Roman"/>
        </w:rPr>
        <w:t>或Mn</w:t>
      </w:r>
      <w:r>
        <w:rPr>
          <w:rFonts w:hint="eastAsia" w:ascii="Times New Roman"/>
          <w:vertAlign w:val="superscript"/>
        </w:rPr>
        <w:t>2+</w:t>
      </w:r>
      <w:r>
        <w:rPr>
          <w:rFonts w:hint="eastAsia" w:ascii="Times New Roman"/>
        </w:rPr>
        <w:t>离子，抑制DNase活性；Na</w:t>
      </w:r>
      <w:r>
        <w:rPr>
          <w:rFonts w:hint="eastAsia" w:ascii="Times New Roman"/>
          <w:lang w:val="en-US" w:eastAsia="zh-CN"/>
        </w:rPr>
        <w:t>C</w:t>
      </w:r>
      <w:r>
        <w:rPr>
          <w:rFonts w:hint="eastAsia" w:ascii="Times New Roman"/>
        </w:rPr>
        <w:t>l提供一个高盐环境，使DNA充分溶解于液相中。</w:t>
      </w:r>
    </w:p>
    <w:p w14:paraId="2A8B2476">
      <w:pPr>
        <w:pStyle w:val="23"/>
        <w:spacing w:before="156" w:beforeLines="50" w:after="156" w:afterLines="50"/>
        <w:ind w:firstLine="0" w:firstLineChars="0"/>
        <w:rPr>
          <w:rFonts w:ascii="黑体" w:hAnsi="黑体" w:eastAsia="黑体"/>
        </w:rPr>
      </w:pPr>
      <w:r>
        <w:rPr>
          <w:rFonts w:hint="eastAsia" w:ascii="黑体" w:hAnsi="黑体" w:eastAsia="黑体" w:cs="黑体"/>
        </w:rPr>
        <w:t xml:space="preserve">B.2 </w:t>
      </w:r>
      <w:r>
        <w:rPr>
          <w:rFonts w:hint="eastAsia" w:ascii="黑体" w:hAnsi="黑体" w:eastAsia="黑体"/>
        </w:rPr>
        <w:t xml:space="preserve"> </w:t>
      </w:r>
      <w:r>
        <w:rPr>
          <w:rFonts w:hint="eastAsia" w:ascii="Times New Roman" w:hAnsi="Times New Roman" w:eastAsia="黑体"/>
          <w:sz w:val="21"/>
        </w:rPr>
        <w:t>Trizol溶液</w:t>
      </w:r>
    </w:p>
    <w:p w14:paraId="43BA740B">
      <w:pPr>
        <w:pStyle w:val="23"/>
        <w:rPr>
          <w:rFonts w:ascii="Times New Roman"/>
        </w:rPr>
      </w:pPr>
      <w:r>
        <w:rPr>
          <w:rFonts w:hint="eastAsia" w:ascii="Times New Roman"/>
        </w:rPr>
        <w:t>异硫氰酸/硫氰酸胍(GITC)：属于解偶剂，将RNA释放到溶液中。</w:t>
      </w:r>
    </w:p>
    <w:p w14:paraId="3677BC08">
      <w:pPr>
        <w:pStyle w:val="23"/>
        <w:rPr>
          <w:rFonts w:ascii="Times New Roman"/>
        </w:rPr>
      </w:pPr>
      <w:r>
        <w:rPr>
          <w:rFonts w:hint="eastAsia" w:ascii="Times New Roman"/>
        </w:rPr>
        <w:t>酚和8-羟基喹啉；</w:t>
      </w:r>
    </w:p>
    <w:p w14:paraId="27ADB8F3">
      <w:pPr>
        <w:pStyle w:val="2"/>
        <w:ind w:firstLine="420" w:firstLineChars="200"/>
        <w:jc w:val="left"/>
        <w:rPr>
          <w:color w:val="auto"/>
          <w:kern w:val="0"/>
          <w:szCs w:val="20"/>
        </w:rPr>
      </w:pPr>
      <w:r>
        <w:rPr>
          <w:color w:val="auto"/>
          <w:kern w:val="0"/>
          <w:szCs w:val="20"/>
        </w:rPr>
        <w:t>β</w:t>
      </w:r>
      <w:r>
        <w:rPr>
          <w:rFonts w:hint="eastAsia"/>
          <w:color w:val="auto"/>
          <w:kern w:val="0"/>
          <w:szCs w:val="20"/>
        </w:rPr>
        <w:t>-巯基乙醇：主要破坏RNase蛋白质中的二硫键。</w:t>
      </w:r>
    </w:p>
    <w:p w14:paraId="5BE50E26">
      <w:pPr>
        <w:pStyle w:val="47"/>
        <w:numPr>
          <w:ilvl w:val="0"/>
          <w:numId w:val="0"/>
        </w:numPr>
        <w:spacing w:before="156" w:beforeLines="50" w:after="156" w:afterLines="50"/>
      </w:pPr>
      <w:r>
        <w:rPr>
          <w:rFonts w:hint="eastAsia" w:hAnsi="黑体" w:cs="黑体"/>
        </w:rPr>
        <w:t xml:space="preserve">B.3 </w:t>
      </w:r>
      <w:r>
        <w:rPr>
          <w:rFonts w:hint="eastAsia" w:ascii="Times New Roman"/>
        </w:rPr>
        <w:t xml:space="preserve"> </w:t>
      </w:r>
      <w:r>
        <w:rPr>
          <w:rFonts w:ascii="Times New Roman"/>
        </w:rPr>
        <w:t>DNA提取试剂盒</w:t>
      </w:r>
    </w:p>
    <w:p w14:paraId="7D9D3782">
      <w:pPr>
        <w:pStyle w:val="2"/>
        <w:spacing w:before="156" w:beforeLines="50" w:after="156" w:afterLines="50"/>
        <w:ind w:firstLine="420" w:firstLineChars="200"/>
        <w:jc w:val="left"/>
        <w:rPr>
          <w:color w:val="auto"/>
          <w:kern w:val="0"/>
          <w:szCs w:val="20"/>
        </w:rPr>
      </w:pPr>
      <w:r>
        <w:rPr>
          <w:color w:val="auto"/>
          <w:kern w:val="0"/>
          <w:szCs w:val="20"/>
        </w:rPr>
        <w:t>用于从生物样本中提取待测样本，进行</w:t>
      </w:r>
      <w:r>
        <w:rPr>
          <w:rFonts w:hint="eastAsia"/>
          <w:color w:val="auto"/>
          <w:kern w:val="0"/>
          <w:szCs w:val="20"/>
          <w:lang w:val="en-US" w:eastAsia="zh-CN"/>
        </w:rPr>
        <w:t>S</w:t>
      </w:r>
      <w:r>
        <w:rPr>
          <w:color w:val="auto"/>
          <w:kern w:val="0"/>
          <w:szCs w:val="20"/>
        </w:rPr>
        <w:t>anger测序或者二代测序，试剂盒内至少应包含：细胞裂解液、洗脱液、TE buffer。</w:t>
      </w:r>
    </w:p>
    <w:p w14:paraId="17A1D76C">
      <w:pPr>
        <w:pStyle w:val="2"/>
        <w:spacing w:before="156" w:beforeLines="50" w:after="156" w:afterLines="50"/>
        <w:jc w:val="left"/>
        <w:rPr>
          <w:color w:val="auto"/>
          <w:kern w:val="0"/>
          <w:szCs w:val="20"/>
        </w:rPr>
      </w:pPr>
      <w:r>
        <w:rPr>
          <w:rFonts w:hint="eastAsia" w:ascii="黑体" w:hAnsi="黑体" w:eastAsia="黑体" w:cs="黑体"/>
          <w:color w:val="auto"/>
          <w:kern w:val="0"/>
          <w:szCs w:val="20"/>
        </w:rPr>
        <w:t xml:space="preserve">B.4 </w:t>
      </w:r>
      <w:r>
        <w:rPr>
          <w:color w:val="auto"/>
          <w:kern w:val="0"/>
          <w:szCs w:val="20"/>
        </w:rPr>
        <w:t xml:space="preserve"> </w:t>
      </w:r>
      <w:r>
        <w:rPr>
          <w:rFonts w:eastAsia="黑体"/>
          <w:color w:val="auto"/>
          <w:kern w:val="0"/>
          <w:szCs w:val="20"/>
        </w:rPr>
        <w:t>Sanger测序试剂盒</w:t>
      </w:r>
    </w:p>
    <w:p w14:paraId="09B0B673">
      <w:pPr>
        <w:pStyle w:val="2"/>
        <w:ind w:firstLine="420" w:firstLineChars="200"/>
        <w:jc w:val="left"/>
        <w:rPr>
          <w:color w:val="auto"/>
          <w:kern w:val="0"/>
          <w:szCs w:val="20"/>
        </w:rPr>
      </w:pPr>
      <w:r>
        <w:rPr>
          <w:color w:val="auto"/>
          <w:kern w:val="0"/>
          <w:szCs w:val="20"/>
        </w:rPr>
        <w:t>用于对待测序样本进行上机前的扩增，得到差一个碱基的多条扩增产物。试剂盒应至少包含：测序酶、dNTPs、荧光标记的ddNTPs、Buffer。</w:t>
      </w:r>
    </w:p>
    <w:p w14:paraId="32074DFF">
      <w:pPr>
        <w:pStyle w:val="2"/>
        <w:spacing w:before="156" w:beforeLines="50" w:after="156" w:afterLines="50"/>
        <w:jc w:val="left"/>
        <w:rPr>
          <w:rFonts w:hint="eastAsia" w:ascii="黑体" w:hAnsi="黑体" w:eastAsia="黑体" w:cs="黑体"/>
          <w:color w:val="auto"/>
          <w:kern w:val="0"/>
          <w:szCs w:val="20"/>
        </w:rPr>
      </w:pPr>
      <w:r>
        <w:rPr>
          <w:rFonts w:hint="eastAsia" w:ascii="黑体" w:hAnsi="黑体" w:eastAsia="黑体" w:cs="黑体"/>
          <w:color w:val="auto"/>
          <w:kern w:val="0"/>
          <w:szCs w:val="20"/>
        </w:rPr>
        <w:t>B.5  建库试剂盒</w:t>
      </w:r>
    </w:p>
    <w:p w14:paraId="697830C7">
      <w:pPr>
        <w:pStyle w:val="2"/>
        <w:ind w:firstLine="420" w:firstLineChars="200"/>
        <w:jc w:val="left"/>
        <w:rPr>
          <w:color w:val="auto"/>
          <w:kern w:val="0"/>
          <w:szCs w:val="20"/>
        </w:rPr>
      </w:pPr>
      <w:r>
        <w:rPr>
          <w:color w:val="auto"/>
          <w:kern w:val="0"/>
          <w:szCs w:val="20"/>
        </w:rPr>
        <w:t>用于核酸样品的基因文库构建，试剂盒内至少应包含：接头、T</w:t>
      </w:r>
      <w:r>
        <w:rPr>
          <w:color w:val="auto"/>
          <w:kern w:val="0"/>
          <w:szCs w:val="20"/>
          <w:vertAlign w:val="subscript"/>
        </w:rPr>
        <w:t>4</w:t>
      </w:r>
      <w:r>
        <w:rPr>
          <w:color w:val="auto"/>
          <w:kern w:val="0"/>
          <w:szCs w:val="20"/>
        </w:rPr>
        <w:t xml:space="preserve"> DNA连接酶、DNA聚合酶、缓冲液。 </w:t>
      </w:r>
    </w:p>
    <w:p w14:paraId="340BA6AD">
      <w:pPr>
        <w:pStyle w:val="2"/>
        <w:spacing w:before="156" w:beforeLines="50" w:after="156" w:afterLines="50"/>
        <w:jc w:val="left"/>
        <w:rPr>
          <w:rFonts w:ascii="黑体" w:hAnsi="黑体" w:eastAsia="黑体" w:cs="黑体"/>
          <w:color w:val="auto"/>
          <w:kern w:val="0"/>
          <w:szCs w:val="20"/>
        </w:rPr>
      </w:pPr>
      <w:r>
        <w:rPr>
          <w:rFonts w:hint="eastAsia" w:ascii="黑体" w:hAnsi="黑体" w:eastAsia="黑体" w:cs="黑体"/>
          <w:color w:val="auto"/>
          <w:kern w:val="0"/>
          <w:szCs w:val="20"/>
        </w:rPr>
        <w:t>B.6  二代测序试剂盒</w:t>
      </w:r>
      <w:r>
        <w:rPr>
          <w:rFonts w:ascii="黑体" w:hAnsi="黑体" w:eastAsia="黑体" w:cs="黑体"/>
          <w:color w:val="auto"/>
          <w:kern w:val="0"/>
          <w:szCs w:val="20"/>
        </w:rPr>
        <w:t xml:space="preserve"> </w:t>
      </w:r>
    </w:p>
    <w:p w14:paraId="32913519">
      <w:pPr>
        <w:pStyle w:val="2"/>
        <w:ind w:firstLine="420" w:firstLineChars="200"/>
        <w:jc w:val="left"/>
        <w:rPr>
          <w:color w:val="auto"/>
          <w:kern w:val="0"/>
          <w:szCs w:val="20"/>
        </w:rPr>
      </w:pPr>
      <w:r>
        <w:rPr>
          <w:color w:val="auto"/>
          <w:kern w:val="0"/>
          <w:szCs w:val="20"/>
        </w:rPr>
        <w:t>用于对测序文库进行高通量基因测序，试剂盒应至少包含测序引物、测序酶、缓冲液。</w:t>
      </w:r>
    </w:p>
    <w:p w14:paraId="2EA6332A">
      <w:pPr>
        <w:pStyle w:val="2"/>
        <w:spacing w:before="156" w:beforeLines="50" w:after="156" w:afterLines="50"/>
        <w:jc w:val="left"/>
        <w:rPr>
          <w:color w:val="auto"/>
          <w:kern w:val="0"/>
          <w:szCs w:val="20"/>
        </w:rPr>
      </w:pPr>
      <w:r>
        <w:rPr>
          <w:rFonts w:hint="eastAsia" w:ascii="黑体" w:hAnsi="黑体" w:eastAsia="黑体" w:cs="黑体"/>
          <w:color w:val="auto"/>
          <w:kern w:val="0"/>
          <w:szCs w:val="20"/>
        </w:rPr>
        <w:t>B.7 基因合成涉及试剂</w:t>
      </w:r>
    </w:p>
    <w:p w14:paraId="0BC05FC7">
      <w:pPr>
        <w:pStyle w:val="2"/>
        <w:ind w:firstLine="420" w:firstLineChars="200"/>
        <w:jc w:val="left"/>
        <w:rPr>
          <w:color w:val="auto"/>
          <w:kern w:val="0"/>
          <w:szCs w:val="20"/>
        </w:rPr>
      </w:pPr>
      <w:r>
        <w:rPr>
          <w:rFonts w:hint="eastAsia"/>
          <w:color w:val="auto"/>
          <w:kern w:val="0"/>
          <w:szCs w:val="20"/>
        </w:rPr>
        <w:t xml:space="preserve">三氯乙酸 </w:t>
      </w:r>
      <w:r>
        <w:rPr>
          <w:color w:val="auto"/>
          <w:kern w:val="0"/>
          <w:szCs w:val="20"/>
        </w:rPr>
        <w:t>C</w:t>
      </w:r>
      <w:r>
        <w:rPr>
          <w:color w:val="auto"/>
          <w:kern w:val="0"/>
          <w:szCs w:val="20"/>
          <w:vertAlign w:val="subscript"/>
        </w:rPr>
        <w:t>2</w:t>
      </w:r>
      <w:r>
        <w:rPr>
          <w:color w:val="auto"/>
          <w:kern w:val="0"/>
          <w:szCs w:val="20"/>
        </w:rPr>
        <w:t>HCl</w:t>
      </w:r>
      <w:r>
        <w:rPr>
          <w:color w:val="auto"/>
          <w:kern w:val="0"/>
          <w:szCs w:val="20"/>
          <w:vertAlign w:val="subscript"/>
        </w:rPr>
        <w:t>3</w:t>
      </w:r>
      <w:r>
        <w:rPr>
          <w:color w:val="auto"/>
          <w:kern w:val="0"/>
          <w:szCs w:val="20"/>
        </w:rPr>
        <w:t>O</w:t>
      </w:r>
      <w:r>
        <w:rPr>
          <w:color w:val="auto"/>
          <w:kern w:val="0"/>
          <w:szCs w:val="20"/>
          <w:vertAlign w:val="subscript"/>
        </w:rPr>
        <w:t>2</w:t>
      </w:r>
      <w:r>
        <w:rPr>
          <w:rFonts w:hint="eastAsia"/>
          <w:color w:val="auto"/>
          <w:kern w:val="0"/>
          <w:szCs w:val="20"/>
        </w:rPr>
        <w:t xml:space="preserve"> </w:t>
      </w:r>
      <w:r>
        <w:rPr>
          <w:color w:val="auto"/>
          <w:kern w:val="0"/>
          <w:szCs w:val="20"/>
        </w:rPr>
        <w:t>Trichloroacetic acid（TCA）</w:t>
      </w:r>
    </w:p>
    <w:p w14:paraId="70C9C5AA">
      <w:pPr>
        <w:pStyle w:val="2"/>
        <w:ind w:firstLine="420" w:firstLineChars="200"/>
        <w:jc w:val="left"/>
        <w:rPr>
          <w:color w:val="auto"/>
          <w:kern w:val="0"/>
          <w:szCs w:val="20"/>
        </w:rPr>
      </w:pPr>
      <w:r>
        <w:rPr>
          <w:rFonts w:hint="eastAsia"/>
          <w:color w:val="auto"/>
          <w:kern w:val="0"/>
          <w:szCs w:val="20"/>
        </w:rPr>
        <w:t xml:space="preserve">亚磷酰胺 </w:t>
      </w:r>
      <w:r>
        <w:rPr>
          <w:color w:val="auto"/>
          <w:kern w:val="0"/>
          <w:szCs w:val="20"/>
        </w:rPr>
        <w:t>C</w:t>
      </w:r>
      <w:r>
        <w:rPr>
          <w:color w:val="auto"/>
          <w:kern w:val="0"/>
          <w:szCs w:val="20"/>
          <w:vertAlign w:val="subscript"/>
        </w:rPr>
        <w:t>52</w:t>
      </w:r>
      <w:r>
        <w:rPr>
          <w:color w:val="auto"/>
          <w:kern w:val="0"/>
          <w:szCs w:val="20"/>
        </w:rPr>
        <w:t>H</w:t>
      </w:r>
      <w:r>
        <w:rPr>
          <w:color w:val="auto"/>
          <w:kern w:val="0"/>
          <w:szCs w:val="20"/>
          <w:vertAlign w:val="subscript"/>
        </w:rPr>
        <w:t>62</w:t>
      </w:r>
      <w:r>
        <w:rPr>
          <w:color w:val="auto"/>
          <w:kern w:val="0"/>
          <w:szCs w:val="20"/>
        </w:rPr>
        <w:t>N</w:t>
      </w:r>
      <w:r>
        <w:rPr>
          <w:color w:val="auto"/>
          <w:kern w:val="0"/>
          <w:szCs w:val="20"/>
          <w:vertAlign w:val="subscript"/>
        </w:rPr>
        <w:t>3</w:t>
      </w:r>
      <w:r>
        <w:rPr>
          <w:color w:val="auto"/>
          <w:kern w:val="0"/>
          <w:szCs w:val="20"/>
        </w:rPr>
        <w:t>O</w:t>
      </w:r>
      <w:r>
        <w:rPr>
          <w:color w:val="auto"/>
          <w:kern w:val="0"/>
          <w:szCs w:val="20"/>
          <w:vertAlign w:val="subscript"/>
        </w:rPr>
        <w:t>7</w:t>
      </w:r>
      <w:r>
        <w:rPr>
          <w:color w:val="auto"/>
          <w:kern w:val="0"/>
          <w:szCs w:val="20"/>
        </w:rPr>
        <w:t>P</w:t>
      </w:r>
      <w:r>
        <w:rPr>
          <w:rFonts w:hint="eastAsia"/>
          <w:color w:val="auto"/>
          <w:kern w:val="0"/>
          <w:szCs w:val="20"/>
        </w:rPr>
        <w:t xml:space="preserve"> </w:t>
      </w:r>
    </w:p>
    <w:p w14:paraId="55025ED7">
      <w:pPr>
        <w:pStyle w:val="2"/>
        <w:ind w:firstLine="420" w:firstLineChars="200"/>
        <w:jc w:val="left"/>
        <w:rPr>
          <w:color w:val="auto"/>
          <w:kern w:val="0"/>
          <w:szCs w:val="20"/>
        </w:rPr>
      </w:pPr>
      <w:r>
        <w:rPr>
          <w:rFonts w:hint="eastAsia"/>
          <w:color w:val="auto"/>
          <w:kern w:val="0"/>
          <w:szCs w:val="20"/>
        </w:rPr>
        <w:t xml:space="preserve">四氮唑 </w:t>
      </w:r>
      <w:r>
        <w:rPr>
          <w:color w:val="auto"/>
          <w:kern w:val="0"/>
          <w:szCs w:val="20"/>
        </w:rPr>
        <w:t>CH</w:t>
      </w:r>
      <w:r>
        <w:rPr>
          <w:color w:val="auto"/>
          <w:kern w:val="0"/>
          <w:szCs w:val="20"/>
          <w:vertAlign w:val="subscript"/>
        </w:rPr>
        <w:t>2</w:t>
      </w:r>
      <w:r>
        <w:rPr>
          <w:color w:val="auto"/>
          <w:kern w:val="0"/>
          <w:szCs w:val="20"/>
        </w:rPr>
        <w:t>N</w:t>
      </w:r>
      <w:r>
        <w:rPr>
          <w:color w:val="auto"/>
          <w:kern w:val="0"/>
          <w:szCs w:val="20"/>
          <w:vertAlign w:val="subscript"/>
        </w:rPr>
        <w:t>4</w:t>
      </w:r>
      <w:r>
        <w:rPr>
          <w:rFonts w:hint="eastAsia"/>
          <w:color w:val="auto"/>
          <w:kern w:val="0"/>
          <w:szCs w:val="20"/>
        </w:rPr>
        <w:t xml:space="preserve"> </w:t>
      </w:r>
      <w:r>
        <w:rPr>
          <w:color w:val="auto"/>
          <w:kern w:val="0"/>
          <w:szCs w:val="20"/>
        </w:rPr>
        <w:t>Tetrazole</w:t>
      </w:r>
    </w:p>
    <w:p w14:paraId="30FFF31A">
      <w:pPr>
        <w:pStyle w:val="2"/>
        <w:ind w:firstLine="420" w:firstLineChars="200"/>
        <w:jc w:val="left"/>
        <w:rPr>
          <w:color w:val="auto"/>
          <w:kern w:val="0"/>
          <w:szCs w:val="20"/>
        </w:rPr>
      </w:pPr>
      <w:r>
        <w:rPr>
          <w:rFonts w:hint="eastAsia"/>
          <w:color w:val="auto"/>
          <w:kern w:val="0"/>
          <w:szCs w:val="20"/>
        </w:rPr>
        <w:t xml:space="preserve">乙酸酐 </w:t>
      </w:r>
      <w:r>
        <w:rPr>
          <w:color w:val="auto"/>
          <w:kern w:val="0"/>
          <w:szCs w:val="20"/>
        </w:rPr>
        <w:t>C</w:t>
      </w:r>
      <w:r>
        <w:rPr>
          <w:color w:val="auto"/>
          <w:kern w:val="0"/>
          <w:szCs w:val="20"/>
          <w:vertAlign w:val="subscript"/>
        </w:rPr>
        <w:t>4</w:t>
      </w:r>
      <w:r>
        <w:rPr>
          <w:color w:val="auto"/>
          <w:kern w:val="0"/>
          <w:szCs w:val="20"/>
        </w:rPr>
        <w:t>H</w:t>
      </w:r>
      <w:r>
        <w:rPr>
          <w:color w:val="auto"/>
          <w:kern w:val="0"/>
          <w:szCs w:val="20"/>
          <w:vertAlign w:val="subscript"/>
        </w:rPr>
        <w:t>6</w:t>
      </w:r>
      <w:r>
        <w:rPr>
          <w:color w:val="auto"/>
          <w:kern w:val="0"/>
          <w:szCs w:val="20"/>
        </w:rPr>
        <w:t>O</w:t>
      </w:r>
      <w:r>
        <w:rPr>
          <w:color w:val="auto"/>
          <w:kern w:val="0"/>
          <w:szCs w:val="20"/>
          <w:vertAlign w:val="subscript"/>
        </w:rPr>
        <w:t>3</w:t>
      </w:r>
      <w:r>
        <w:rPr>
          <w:rFonts w:hint="eastAsia"/>
          <w:color w:val="auto"/>
          <w:kern w:val="0"/>
          <w:szCs w:val="20"/>
        </w:rPr>
        <w:t xml:space="preserve"> </w:t>
      </w:r>
      <w:r>
        <w:rPr>
          <w:color w:val="auto"/>
          <w:kern w:val="0"/>
          <w:szCs w:val="20"/>
        </w:rPr>
        <w:t>Acetic anhydride</w:t>
      </w:r>
    </w:p>
    <w:p w14:paraId="4EC64C0B">
      <w:pPr>
        <w:pStyle w:val="2"/>
        <w:ind w:firstLine="420" w:firstLineChars="200"/>
        <w:jc w:val="left"/>
        <w:rPr>
          <w:color w:val="auto"/>
          <w:kern w:val="0"/>
          <w:szCs w:val="20"/>
        </w:rPr>
      </w:pPr>
      <w:r>
        <w:rPr>
          <w:rFonts w:hint="eastAsia"/>
          <w:color w:val="auto"/>
          <w:kern w:val="0"/>
          <w:szCs w:val="20"/>
        </w:rPr>
        <w:t xml:space="preserve">碘 </w:t>
      </w:r>
      <w:r>
        <w:rPr>
          <w:color w:val="auto"/>
          <w:kern w:val="0"/>
          <w:szCs w:val="20"/>
        </w:rPr>
        <w:t>I</w:t>
      </w:r>
      <w:r>
        <w:rPr>
          <w:color w:val="auto"/>
          <w:kern w:val="0"/>
          <w:szCs w:val="20"/>
          <w:vertAlign w:val="subscript"/>
        </w:rPr>
        <w:t>2</w:t>
      </w:r>
      <w:r>
        <w:rPr>
          <w:rFonts w:hint="eastAsia"/>
          <w:color w:val="auto"/>
          <w:kern w:val="0"/>
          <w:szCs w:val="20"/>
        </w:rPr>
        <w:t xml:space="preserve">  </w:t>
      </w:r>
      <w:r>
        <w:rPr>
          <w:color w:val="auto"/>
          <w:kern w:val="0"/>
          <w:szCs w:val="20"/>
        </w:rPr>
        <w:t>Iodine</w:t>
      </w:r>
    </w:p>
    <w:p w14:paraId="716066C0">
      <w:pPr>
        <w:pStyle w:val="2"/>
        <w:ind w:firstLine="420" w:firstLineChars="200"/>
        <w:jc w:val="left"/>
        <w:rPr>
          <w:color w:val="auto"/>
          <w:kern w:val="0"/>
          <w:szCs w:val="20"/>
        </w:rPr>
      </w:pPr>
      <w:r>
        <w:rPr>
          <w:rFonts w:hint="eastAsia"/>
          <w:color w:val="auto"/>
          <w:kern w:val="0"/>
          <w:szCs w:val="20"/>
        </w:rPr>
        <w:t xml:space="preserve">氨水 </w:t>
      </w:r>
      <w:r>
        <w:rPr>
          <w:color w:val="auto"/>
          <w:kern w:val="0"/>
          <w:szCs w:val="20"/>
        </w:rPr>
        <w:t>NH</w:t>
      </w:r>
      <w:r>
        <w:rPr>
          <w:color w:val="auto"/>
          <w:kern w:val="0"/>
          <w:szCs w:val="20"/>
          <w:vertAlign w:val="subscript"/>
        </w:rPr>
        <w:t>3</w:t>
      </w:r>
      <w:r>
        <w:rPr>
          <w:color w:val="auto"/>
          <w:kern w:val="0"/>
          <w:szCs w:val="20"/>
        </w:rPr>
        <w:t>·H</w:t>
      </w:r>
      <w:r>
        <w:rPr>
          <w:color w:val="auto"/>
          <w:kern w:val="0"/>
          <w:szCs w:val="20"/>
          <w:vertAlign w:val="subscript"/>
        </w:rPr>
        <w:t>2</w:t>
      </w:r>
      <w:r>
        <w:rPr>
          <w:color w:val="auto"/>
          <w:kern w:val="0"/>
          <w:szCs w:val="20"/>
        </w:rPr>
        <w:t>O</w:t>
      </w:r>
      <w:r>
        <w:rPr>
          <w:rFonts w:hint="eastAsia"/>
          <w:color w:val="auto"/>
          <w:kern w:val="0"/>
          <w:szCs w:val="20"/>
        </w:rPr>
        <w:t xml:space="preserve"> </w:t>
      </w:r>
      <w:r>
        <w:rPr>
          <w:color w:val="auto"/>
          <w:kern w:val="0"/>
          <w:szCs w:val="20"/>
        </w:rPr>
        <w:t>aqueous ammonia</w:t>
      </w:r>
      <w:r>
        <w:rPr>
          <w:rFonts w:hint="eastAsia"/>
          <w:color w:val="auto"/>
          <w:kern w:val="0"/>
          <w:szCs w:val="20"/>
        </w:rPr>
        <w:t xml:space="preserve"> </w:t>
      </w:r>
      <w:r>
        <w:rPr>
          <w:color w:val="auto"/>
          <w:kern w:val="0"/>
          <w:szCs w:val="20"/>
        </w:rPr>
        <w:t>含氨25%～28%的水溶液</w:t>
      </w:r>
    </w:p>
    <w:p w14:paraId="6D2AC8B7">
      <w:pPr>
        <w:pStyle w:val="2"/>
        <w:ind w:firstLine="420" w:firstLineChars="200"/>
        <w:jc w:val="left"/>
        <w:rPr>
          <w:color w:val="auto"/>
          <w:kern w:val="0"/>
          <w:szCs w:val="20"/>
        </w:rPr>
      </w:pPr>
      <w:r>
        <w:rPr>
          <w:rFonts w:hint="eastAsia"/>
          <w:color w:val="auto"/>
          <w:kern w:val="0"/>
          <w:szCs w:val="20"/>
        </w:rPr>
        <w:t xml:space="preserve">乙腈 </w:t>
      </w:r>
      <w:r>
        <w:rPr>
          <w:color w:val="auto"/>
          <w:kern w:val="0"/>
          <w:szCs w:val="20"/>
        </w:rPr>
        <w:t>C</w:t>
      </w:r>
      <w:r>
        <w:rPr>
          <w:color w:val="auto"/>
          <w:kern w:val="0"/>
          <w:szCs w:val="20"/>
          <w:vertAlign w:val="subscript"/>
        </w:rPr>
        <w:t>2</w:t>
      </w:r>
      <w:r>
        <w:rPr>
          <w:color w:val="auto"/>
          <w:kern w:val="0"/>
          <w:szCs w:val="20"/>
        </w:rPr>
        <w:t>H</w:t>
      </w:r>
      <w:r>
        <w:rPr>
          <w:color w:val="auto"/>
          <w:kern w:val="0"/>
          <w:szCs w:val="20"/>
          <w:vertAlign w:val="subscript"/>
        </w:rPr>
        <w:t>3</w:t>
      </w:r>
      <w:r>
        <w:rPr>
          <w:color w:val="auto"/>
          <w:kern w:val="0"/>
          <w:szCs w:val="20"/>
        </w:rPr>
        <w:t>N</w:t>
      </w:r>
      <w:r>
        <w:rPr>
          <w:rFonts w:hint="eastAsia"/>
          <w:color w:val="auto"/>
          <w:kern w:val="0"/>
          <w:szCs w:val="20"/>
        </w:rPr>
        <w:t xml:space="preserve"> </w:t>
      </w:r>
      <w:r>
        <w:rPr>
          <w:color w:val="auto"/>
          <w:kern w:val="0"/>
          <w:szCs w:val="20"/>
        </w:rPr>
        <w:t>Acetonitrile</w:t>
      </w:r>
    </w:p>
    <w:p w14:paraId="544C6D64">
      <w:pPr>
        <w:pStyle w:val="2"/>
        <w:spacing w:before="156" w:beforeLines="50" w:after="156" w:afterLines="50"/>
        <w:jc w:val="left"/>
        <w:rPr>
          <w:color w:val="auto"/>
          <w:kern w:val="0"/>
          <w:szCs w:val="20"/>
        </w:rPr>
      </w:pPr>
      <w:r>
        <w:rPr>
          <w:rFonts w:hint="eastAsia"/>
          <w:color w:val="auto"/>
          <w:kern w:val="0"/>
          <w:szCs w:val="20"/>
        </w:rPr>
        <w:t xml:space="preserve">   </w:t>
      </w:r>
    </w:p>
    <w:p w14:paraId="04ACA5C6">
      <w:pPr>
        <w:rPr>
          <w:rFonts w:eastAsia="黑体"/>
          <w:szCs w:val="21"/>
        </w:rPr>
      </w:pPr>
      <w:r>
        <w:rPr>
          <w:rFonts w:hint="eastAsia" w:eastAsia="黑体"/>
          <w:szCs w:val="21"/>
        </w:rPr>
        <w:br w:type="page"/>
      </w:r>
    </w:p>
    <w:p w14:paraId="2C0BF3DD">
      <w:pPr>
        <w:pStyle w:val="2"/>
        <w:bidi w:val="0"/>
        <w:jc w:val="center"/>
        <w:rPr>
          <w:rFonts w:hint="eastAsia" w:ascii="黑体" w:hAnsi="黑体" w:eastAsia="黑体" w:cs="黑体"/>
          <w:color w:val="auto"/>
        </w:rPr>
      </w:pPr>
    </w:p>
    <w:p w14:paraId="08CB8CBD">
      <w:pPr>
        <w:pStyle w:val="2"/>
        <w:bidi w:val="0"/>
        <w:jc w:val="center"/>
        <w:rPr>
          <w:rFonts w:hint="eastAsia" w:ascii="黑体" w:hAnsi="黑体" w:eastAsia="黑体" w:cs="黑体"/>
          <w:color w:val="auto"/>
        </w:rPr>
      </w:pPr>
      <w:r>
        <w:rPr>
          <w:rFonts w:hint="eastAsia" w:ascii="黑体" w:hAnsi="黑体" w:eastAsia="黑体" w:cs="黑体"/>
          <w:color w:val="auto"/>
        </w:rPr>
        <w:t>附录C</w:t>
      </w:r>
    </w:p>
    <w:p w14:paraId="11079DDE">
      <w:pPr>
        <w:pStyle w:val="2"/>
        <w:bidi w:val="0"/>
        <w:jc w:val="center"/>
        <w:rPr>
          <w:rFonts w:hint="eastAsia" w:ascii="黑体" w:hAnsi="黑体" w:eastAsia="黑体" w:cs="黑体"/>
          <w:color w:val="auto"/>
        </w:rPr>
      </w:pPr>
      <w:r>
        <w:rPr>
          <w:rFonts w:hint="eastAsia" w:ascii="黑体" w:hAnsi="黑体" w:eastAsia="黑体" w:cs="黑体"/>
          <w:color w:val="auto"/>
        </w:rPr>
        <w:t>（资料性）</w:t>
      </w:r>
    </w:p>
    <w:p w14:paraId="6DDBECDF">
      <w:pPr>
        <w:pStyle w:val="2"/>
        <w:bidi w:val="0"/>
        <w:jc w:val="center"/>
        <w:rPr>
          <w:rFonts w:hint="eastAsia" w:ascii="黑体" w:hAnsi="黑体" w:eastAsia="黑体" w:cs="黑体"/>
          <w:color w:val="auto"/>
        </w:rPr>
      </w:pPr>
      <w:r>
        <w:rPr>
          <w:rFonts w:hint="eastAsia" w:ascii="黑体" w:hAnsi="黑体" w:eastAsia="黑体" w:cs="黑体"/>
          <w:color w:val="auto"/>
        </w:rPr>
        <w:t>工艺流程示意图</w:t>
      </w:r>
    </w:p>
    <w:p w14:paraId="35317317">
      <w:pPr>
        <w:pStyle w:val="2"/>
        <w:bidi w:val="0"/>
      </w:pPr>
    </w:p>
    <w:p w14:paraId="7335BE39">
      <w:pPr>
        <w:pStyle w:val="2"/>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color w:val="auto"/>
        </w:rPr>
      </w:pPr>
      <w:r>
        <w:rPr>
          <w:rFonts w:hint="eastAsia" w:ascii="黑体" w:hAnsi="黑体" w:eastAsia="黑体" w:cs="黑体"/>
          <w:color w:val="auto"/>
        </w:rPr>
        <w:t>C.1 亚磷酰胺三酯合成法示意图</w:t>
      </w:r>
    </w:p>
    <w:p w14:paraId="2AD7A31A">
      <w:pPr>
        <w:pStyle w:val="2"/>
        <w:bidi w:val="0"/>
        <w:jc w:val="center"/>
        <w:rPr>
          <w:rFonts w:hint="eastAsia" w:ascii="黑体" w:hAnsi="黑体" w:eastAsia="黑体" w:cs="黑体"/>
          <w:color w:val="auto"/>
        </w:rPr>
      </w:pPr>
      <w:r>
        <w:drawing>
          <wp:inline distT="0" distB="0" distL="114300" distR="114300">
            <wp:extent cx="3659505" cy="2029460"/>
            <wp:effectExtent l="0" t="0" r="17145" b="8890"/>
            <wp:docPr id="8" name="图片 2"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图示&#10;&#10;描述已自动生成"/>
                    <pic:cNvPicPr>
                      <a:picLocks noChangeAspect="1"/>
                    </pic:cNvPicPr>
                  </pic:nvPicPr>
                  <pic:blipFill>
                    <a:blip r:embed="rId9"/>
                    <a:stretch>
                      <a:fillRect/>
                    </a:stretch>
                  </pic:blipFill>
                  <pic:spPr>
                    <a:xfrm>
                      <a:off x="0" y="0"/>
                      <a:ext cx="3659505" cy="2029460"/>
                    </a:xfrm>
                    <a:prstGeom prst="rect">
                      <a:avLst/>
                    </a:prstGeom>
                    <a:noFill/>
                    <a:ln>
                      <a:noFill/>
                    </a:ln>
                  </pic:spPr>
                </pic:pic>
              </a:graphicData>
            </a:graphic>
          </wp:inline>
        </w:drawing>
      </w:r>
    </w:p>
    <w:p w14:paraId="7E674A34">
      <w:pPr>
        <w:pStyle w:val="2"/>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color w:val="auto"/>
        </w:rPr>
      </w:pPr>
      <w:r>
        <w:rPr>
          <w:rFonts w:hint="eastAsia" w:ascii="黑体" w:hAnsi="黑体" w:eastAsia="黑体" w:cs="黑体"/>
          <w:color w:val="auto"/>
        </w:rPr>
        <w:t>C.2 Sanger测序工艺流程</w:t>
      </w:r>
    </w:p>
    <w:p w14:paraId="70586B7A">
      <w:pPr>
        <w:pStyle w:val="2"/>
        <w:bidi w:val="0"/>
      </w:pPr>
      <w:r>
        <w:drawing>
          <wp:inline distT="0" distB="0" distL="114300" distR="114300">
            <wp:extent cx="5849620" cy="1702435"/>
            <wp:effectExtent l="0" t="0" r="17780" b="12065"/>
            <wp:docPr id="4" name="图片 1" descr="图示&#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图示&#10;&#10;中度可信度描述已自动生成"/>
                    <pic:cNvPicPr>
                      <a:picLocks noChangeAspect="1"/>
                    </pic:cNvPicPr>
                  </pic:nvPicPr>
                  <pic:blipFill>
                    <a:blip r:embed="rId10"/>
                    <a:srcRect t="662" b="-662"/>
                    <a:stretch>
                      <a:fillRect/>
                    </a:stretch>
                  </pic:blipFill>
                  <pic:spPr>
                    <a:xfrm>
                      <a:off x="0" y="0"/>
                      <a:ext cx="5849620" cy="1702435"/>
                    </a:xfrm>
                    <a:prstGeom prst="rect">
                      <a:avLst/>
                    </a:prstGeom>
                    <a:noFill/>
                    <a:ln>
                      <a:noFill/>
                    </a:ln>
                  </pic:spPr>
                </pic:pic>
              </a:graphicData>
            </a:graphic>
          </wp:inline>
        </w:drawing>
      </w:r>
    </w:p>
    <w:p w14:paraId="0FCDDB39">
      <w:pPr>
        <w:pStyle w:val="2"/>
        <w:bidi w:val="0"/>
      </w:pPr>
    </w:p>
    <w:p w14:paraId="7EF8171C">
      <w:pPr>
        <w:pStyle w:val="2"/>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color w:val="auto"/>
        </w:rPr>
      </w:pPr>
      <w:r>
        <w:rPr>
          <w:rFonts w:hint="eastAsia" w:ascii="黑体" w:hAnsi="黑体" w:eastAsia="黑体" w:cs="黑体"/>
          <w:color w:val="auto"/>
        </w:rPr>
        <w:t>C.3 传统DNA建库工艺流程</w:t>
      </w:r>
    </w:p>
    <w:p w14:paraId="1B6A1979">
      <w:pPr>
        <w:pStyle w:val="2"/>
        <w:bidi w:val="0"/>
        <w:jc w:val="center"/>
      </w:pPr>
      <w:r>
        <w:rPr>
          <w:rFonts w:hint="eastAsia"/>
        </w:rPr>
        <w:drawing>
          <wp:inline distT="0" distB="0" distL="114300" distR="114300">
            <wp:extent cx="2407285" cy="2157730"/>
            <wp:effectExtent l="0" t="0" r="12065" b="13970"/>
            <wp:docPr id="10" name="图片 10" descr="a899a28ef45b96879698d9d88bb52c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a899a28ef45b96879698d9d88bb52c59"/>
                    <pic:cNvPicPr>
                      <a:picLocks noChangeAspect="1"/>
                    </pic:cNvPicPr>
                  </pic:nvPicPr>
                  <pic:blipFill>
                    <a:blip r:embed="rId11"/>
                    <a:srcRect b="6482"/>
                    <a:stretch>
                      <a:fillRect/>
                    </a:stretch>
                  </pic:blipFill>
                  <pic:spPr>
                    <a:xfrm>
                      <a:off x="0" y="0"/>
                      <a:ext cx="2407285" cy="2157730"/>
                    </a:xfrm>
                    <a:prstGeom prst="rect">
                      <a:avLst/>
                    </a:prstGeom>
                  </pic:spPr>
                </pic:pic>
              </a:graphicData>
            </a:graphic>
          </wp:inline>
        </w:drawing>
      </w:r>
    </w:p>
    <w:p w14:paraId="52303667">
      <w:pPr>
        <w:pStyle w:val="2"/>
        <w:bidi w:val="0"/>
      </w:pPr>
    </w:p>
    <w:p w14:paraId="2F05BFA3">
      <w:pPr>
        <w:pStyle w:val="2"/>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color w:val="auto"/>
        </w:rPr>
      </w:pPr>
      <w:r>
        <w:rPr>
          <w:rFonts w:hint="eastAsia" w:ascii="黑体" w:hAnsi="黑体" w:eastAsia="黑体" w:cs="黑体"/>
          <w:color w:val="auto"/>
        </w:rPr>
        <w:t>C.4 基于oligo-dT富集的mRNA建库流程</w:t>
      </w:r>
    </w:p>
    <w:p w14:paraId="6EB400E1">
      <w:pPr>
        <w:pStyle w:val="2"/>
        <w:bidi w:val="0"/>
        <w:jc w:val="center"/>
      </w:pPr>
      <w:r>
        <w:rPr>
          <w:rFonts w:hint="eastAsia"/>
        </w:rPr>
        <w:drawing>
          <wp:inline distT="0" distB="0" distL="114300" distR="114300">
            <wp:extent cx="2707005" cy="2849245"/>
            <wp:effectExtent l="0" t="0" r="17145" b="8255"/>
            <wp:docPr id="5" name="图片 5" descr="45687fb31260ade99458ef1c5d3eac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45687fb31260ade99458ef1c5d3eac38"/>
                    <pic:cNvPicPr>
                      <a:picLocks noChangeAspect="1"/>
                    </pic:cNvPicPr>
                  </pic:nvPicPr>
                  <pic:blipFill>
                    <a:blip r:embed="rId12"/>
                    <a:stretch>
                      <a:fillRect/>
                    </a:stretch>
                  </pic:blipFill>
                  <pic:spPr>
                    <a:xfrm>
                      <a:off x="0" y="0"/>
                      <a:ext cx="2707005" cy="2849245"/>
                    </a:xfrm>
                    <a:prstGeom prst="rect">
                      <a:avLst/>
                    </a:prstGeom>
                  </pic:spPr>
                </pic:pic>
              </a:graphicData>
            </a:graphic>
          </wp:inline>
        </w:drawing>
      </w:r>
    </w:p>
    <w:p w14:paraId="5C029F1B">
      <w:pPr>
        <w:pStyle w:val="2"/>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color w:val="auto"/>
        </w:rPr>
      </w:pPr>
      <w:r>
        <w:rPr>
          <w:rFonts w:hint="eastAsia" w:ascii="黑体" w:hAnsi="黑体" w:eastAsia="黑体" w:cs="黑体"/>
          <w:color w:val="auto"/>
        </w:rPr>
        <w:t>C.5 基于酶法的rRNA去除的mRNA建库流程</w:t>
      </w:r>
    </w:p>
    <w:p w14:paraId="410BE159">
      <w:pPr>
        <w:pStyle w:val="2"/>
        <w:bidi w:val="0"/>
        <w:jc w:val="center"/>
      </w:pPr>
      <w:r>
        <w:drawing>
          <wp:inline distT="0" distB="0" distL="114300" distR="114300">
            <wp:extent cx="3162935" cy="2964815"/>
            <wp:effectExtent l="0" t="0" r="0" b="6985"/>
            <wp:docPr id="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56"/>
                    <pic:cNvPicPr>
                      <a:picLocks noChangeAspect="1"/>
                    </pic:cNvPicPr>
                  </pic:nvPicPr>
                  <pic:blipFill>
                    <a:blip r:embed="rId13"/>
                    <a:stretch>
                      <a:fillRect/>
                    </a:stretch>
                  </pic:blipFill>
                  <pic:spPr>
                    <a:xfrm>
                      <a:off x="0" y="0"/>
                      <a:ext cx="3162935" cy="2964815"/>
                    </a:xfrm>
                    <a:prstGeom prst="rect">
                      <a:avLst/>
                    </a:prstGeom>
                    <a:noFill/>
                    <a:ln w="9525">
                      <a:noFill/>
                    </a:ln>
                  </pic:spPr>
                </pic:pic>
              </a:graphicData>
            </a:graphic>
          </wp:inline>
        </w:drawing>
      </w:r>
    </w:p>
    <w:p w14:paraId="48477D8D">
      <w:pPr>
        <w:pStyle w:val="2"/>
        <w:bidi w:val="0"/>
      </w:pPr>
    </w:p>
    <w:p w14:paraId="272C6371">
      <w:pPr>
        <w:pStyle w:val="2"/>
        <w:bidi w:val="0"/>
        <w:rPr>
          <w:rFonts w:hint="eastAsia" w:ascii="黑体" w:hAnsi="黑体" w:eastAsia="黑体" w:cs="黑体"/>
          <w:color w:val="auto"/>
        </w:rPr>
      </w:pPr>
      <w:r>
        <w:rPr>
          <w:rFonts w:hint="eastAsia" w:ascii="黑体" w:hAnsi="黑体" w:eastAsia="黑体" w:cs="黑体"/>
          <w:color w:val="auto"/>
        </w:rPr>
        <w:t>C.6 引物合成工艺流程示意图</w:t>
      </w:r>
    </w:p>
    <w:p w14:paraId="104D5A5F">
      <w:pPr>
        <w:pStyle w:val="2"/>
        <w:bidi w:val="0"/>
        <w:jc w:val="center"/>
        <w:rPr>
          <w:rFonts w:hint="eastAsia"/>
        </w:rPr>
      </w:pPr>
      <w:r>
        <w:drawing>
          <wp:inline distT="0" distB="0" distL="114300" distR="114300">
            <wp:extent cx="5274310" cy="1388110"/>
            <wp:effectExtent l="0" t="0" r="2540" b="2540"/>
            <wp:docPr id="9" name="图片 3"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descr="图示&#10;&#10;描述已自动生成"/>
                    <pic:cNvPicPr>
                      <a:picLocks noChangeAspect="1"/>
                    </pic:cNvPicPr>
                  </pic:nvPicPr>
                  <pic:blipFill>
                    <a:blip r:embed="rId14"/>
                    <a:stretch>
                      <a:fillRect/>
                    </a:stretch>
                  </pic:blipFill>
                  <pic:spPr>
                    <a:xfrm>
                      <a:off x="0" y="0"/>
                      <a:ext cx="5274310" cy="1388110"/>
                    </a:xfrm>
                    <a:prstGeom prst="rect">
                      <a:avLst/>
                    </a:prstGeom>
                    <a:noFill/>
                    <a:ln>
                      <a:noFill/>
                    </a:ln>
                  </pic:spPr>
                </pic:pic>
              </a:graphicData>
            </a:graphic>
          </wp:inline>
        </w:drawing>
      </w:r>
    </w:p>
    <w:p w14:paraId="2497923B">
      <w:pPr>
        <w:pStyle w:val="2"/>
        <w:bidi w:val="0"/>
        <w:rPr>
          <w:rFonts w:hint="eastAsia"/>
        </w:rPr>
      </w:pPr>
    </w:p>
    <w:p w14:paraId="538C3667">
      <w:pPr>
        <w:pStyle w:val="2"/>
        <w:bidi w:val="0"/>
        <w:rPr>
          <w:rFonts w:hint="eastAsia" w:ascii="黑体" w:hAnsi="黑体" w:eastAsia="黑体" w:cs="黑体"/>
          <w:color w:val="auto"/>
        </w:rPr>
      </w:pPr>
      <w:r>
        <w:rPr>
          <w:rFonts w:hint="eastAsia" w:ascii="黑体" w:hAnsi="黑体" w:eastAsia="黑体" w:cs="黑体"/>
          <w:color w:val="auto"/>
        </w:rPr>
        <w:t>C.7 基因合成工艺流程示意图</w:t>
      </w:r>
    </w:p>
    <w:p w14:paraId="78305EAD">
      <w:pPr>
        <w:pStyle w:val="23"/>
        <w:ind w:firstLine="630" w:firstLineChars="300"/>
        <w:jc w:val="left"/>
        <w:rPr>
          <w:rFonts w:ascii="Times New Roman"/>
          <w:color w:val="FF0000"/>
          <w:szCs w:val="21"/>
        </w:rPr>
      </w:pPr>
    </w:p>
    <w:p w14:paraId="2225E725">
      <w:pPr>
        <w:pStyle w:val="23"/>
        <w:ind w:left="0" w:leftChars="0" w:firstLine="0" w:firstLineChars="0"/>
        <w:jc w:val="center"/>
        <w:rPr>
          <w:rFonts w:ascii="Times New Roman" w:cs="宋体"/>
          <w:kern w:val="2"/>
          <w:szCs w:val="21"/>
        </w:rPr>
      </w:pPr>
      <w:r>
        <w:rPr>
          <w:rFonts w:ascii="Times New Roman" w:cs="宋体"/>
          <w:kern w:val="2"/>
          <w:szCs w:val="21"/>
        </w:rPr>
        <w:drawing>
          <wp:inline distT="0" distB="0" distL="114300" distR="114300">
            <wp:extent cx="3484880" cy="2929890"/>
            <wp:effectExtent l="0" t="0" r="1270" b="3810"/>
            <wp:docPr id="12" name="图片 4" descr="图表, 旭日形&#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 descr="图表, 旭日形&#10;&#10;描述已自动生成"/>
                    <pic:cNvPicPr>
                      <a:picLocks noChangeAspect="1"/>
                    </pic:cNvPicPr>
                  </pic:nvPicPr>
                  <pic:blipFill>
                    <a:blip r:embed="rId15"/>
                    <a:srcRect r="1218" b="5511"/>
                    <a:stretch>
                      <a:fillRect/>
                    </a:stretch>
                  </pic:blipFill>
                  <pic:spPr>
                    <a:xfrm>
                      <a:off x="0" y="0"/>
                      <a:ext cx="3484880" cy="2929890"/>
                    </a:xfrm>
                    <a:prstGeom prst="rect">
                      <a:avLst/>
                    </a:prstGeom>
                    <a:noFill/>
                    <a:ln>
                      <a:noFill/>
                    </a:ln>
                  </pic:spPr>
                </pic:pic>
              </a:graphicData>
            </a:graphic>
          </wp:inline>
        </w:drawing>
      </w:r>
    </w:p>
    <w:p w14:paraId="7FE6FDCF">
      <w:pPr>
        <w:jc w:val="center"/>
        <w:rPr>
          <w:rFonts w:eastAsia="黑体"/>
        </w:rPr>
      </w:pPr>
    </w:p>
    <w:p w14:paraId="5332DDE0">
      <w:pPr>
        <w:jc w:val="both"/>
        <w:rPr>
          <w:rFonts w:eastAsia="黑体"/>
        </w:rPr>
      </w:pPr>
    </w:p>
    <w:p w14:paraId="51EBB317">
      <w:pPr>
        <w:pStyle w:val="2"/>
        <w:rPr>
          <w:rFonts w:eastAsia="黑体"/>
        </w:rPr>
      </w:pPr>
    </w:p>
    <w:p w14:paraId="01489484">
      <w:pPr>
        <w:pStyle w:val="2"/>
        <w:rPr>
          <w:rFonts w:eastAsia="黑体"/>
        </w:rPr>
      </w:pPr>
    </w:p>
    <w:p w14:paraId="064D9148">
      <w:pPr>
        <w:pStyle w:val="2"/>
        <w:rPr>
          <w:rFonts w:eastAsia="黑体"/>
        </w:rPr>
      </w:pPr>
    </w:p>
    <w:p w14:paraId="1717215C">
      <w:pPr>
        <w:pStyle w:val="2"/>
        <w:rPr>
          <w:rFonts w:eastAsia="黑体"/>
        </w:rPr>
      </w:pPr>
    </w:p>
    <w:p w14:paraId="2D7C7797">
      <w:pPr>
        <w:pStyle w:val="2"/>
        <w:rPr>
          <w:rFonts w:eastAsia="黑体"/>
        </w:rPr>
      </w:pPr>
    </w:p>
    <w:p w14:paraId="3D3333F0">
      <w:pPr>
        <w:pStyle w:val="2"/>
        <w:rPr>
          <w:rFonts w:eastAsia="黑体"/>
        </w:rPr>
      </w:pPr>
    </w:p>
    <w:p w14:paraId="2A005A36">
      <w:pPr>
        <w:pStyle w:val="2"/>
        <w:rPr>
          <w:rFonts w:eastAsia="黑体"/>
        </w:rPr>
      </w:pPr>
    </w:p>
    <w:p w14:paraId="59D40A00">
      <w:pPr>
        <w:pStyle w:val="2"/>
        <w:rPr>
          <w:rFonts w:eastAsia="黑体"/>
        </w:rPr>
      </w:pPr>
    </w:p>
    <w:p w14:paraId="72C910E6">
      <w:pPr>
        <w:pStyle w:val="2"/>
        <w:rPr>
          <w:rFonts w:eastAsia="黑体"/>
        </w:rPr>
      </w:pPr>
    </w:p>
    <w:p w14:paraId="0ABA405D">
      <w:pPr>
        <w:pStyle w:val="2"/>
        <w:rPr>
          <w:rFonts w:eastAsia="黑体"/>
        </w:rPr>
      </w:pPr>
    </w:p>
    <w:p w14:paraId="785F1FA2">
      <w:pPr>
        <w:pStyle w:val="2"/>
        <w:rPr>
          <w:rFonts w:eastAsia="黑体"/>
        </w:rPr>
      </w:pPr>
    </w:p>
    <w:p w14:paraId="1C306446">
      <w:pPr>
        <w:pStyle w:val="2"/>
        <w:rPr>
          <w:rFonts w:eastAsia="黑体"/>
        </w:rPr>
      </w:pPr>
    </w:p>
    <w:p w14:paraId="3AF95BBF">
      <w:pPr>
        <w:pStyle w:val="2"/>
        <w:rPr>
          <w:rFonts w:eastAsia="黑体"/>
        </w:rPr>
      </w:pPr>
    </w:p>
    <w:p w14:paraId="2590F9C9">
      <w:pPr>
        <w:pStyle w:val="2"/>
        <w:rPr>
          <w:rFonts w:eastAsia="黑体"/>
        </w:rPr>
      </w:pPr>
    </w:p>
    <w:p w14:paraId="13712AC5">
      <w:pPr>
        <w:pStyle w:val="2"/>
        <w:rPr>
          <w:rFonts w:eastAsia="黑体"/>
        </w:rPr>
      </w:pPr>
    </w:p>
    <w:p w14:paraId="666D9528">
      <w:pPr>
        <w:pStyle w:val="2"/>
        <w:rPr>
          <w:rFonts w:eastAsia="黑体"/>
        </w:rPr>
      </w:pPr>
    </w:p>
    <w:p w14:paraId="5FA282C7">
      <w:pPr>
        <w:pStyle w:val="2"/>
        <w:rPr>
          <w:rFonts w:eastAsia="黑体"/>
        </w:rPr>
      </w:pPr>
    </w:p>
    <w:p w14:paraId="72B95B78">
      <w:pPr>
        <w:pStyle w:val="2"/>
        <w:rPr>
          <w:rFonts w:eastAsia="黑体"/>
        </w:rPr>
      </w:pPr>
    </w:p>
    <w:p w14:paraId="7A0232D2">
      <w:pPr>
        <w:pStyle w:val="2"/>
        <w:rPr>
          <w:rFonts w:eastAsia="黑体"/>
        </w:rPr>
      </w:pPr>
    </w:p>
    <w:p w14:paraId="00A6A331">
      <w:pPr>
        <w:pStyle w:val="2"/>
        <w:rPr>
          <w:rFonts w:eastAsia="黑体"/>
        </w:rPr>
      </w:pPr>
    </w:p>
    <w:p w14:paraId="24FF8BCA">
      <w:pPr>
        <w:pStyle w:val="2"/>
        <w:rPr>
          <w:rFonts w:eastAsia="黑体"/>
        </w:rPr>
      </w:pPr>
    </w:p>
    <w:p w14:paraId="618052A4">
      <w:pPr>
        <w:pStyle w:val="2"/>
        <w:rPr>
          <w:rFonts w:eastAsia="黑体"/>
        </w:rPr>
      </w:pPr>
    </w:p>
    <w:p w14:paraId="0BC8BA73">
      <w:pPr>
        <w:pStyle w:val="2"/>
        <w:rPr>
          <w:rFonts w:eastAsia="黑体"/>
        </w:rPr>
      </w:pPr>
    </w:p>
    <w:p w14:paraId="0C680683">
      <w:pPr>
        <w:pStyle w:val="2"/>
        <w:rPr>
          <w:rFonts w:eastAsia="黑体"/>
        </w:rPr>
      </w:pPr>
    </w:p>
    <w:p w14:paraId="782A172D">
      <w:pPr>
        <w:pStyle w:val="2"/>
        <w:rPr>
          <w:rFonts w:eastAsia="黑体"/>
        </w:rPr>
      </w:pPr>
    </w:p>
    <w:p w14:paraId="05FE8269">
      <w:pPr>
        <w:jc w:val="center"/>
        <w:rPr>
          <w:rFonts w:eastAsia="黑体"/>
        </w:rPr>
      </w:pPr>
    </w:p>
    <w:p w14:paraId="7057C972">
      <w:pPr>
        <w:jc w:val="center"/>
        <w:rPr>
          <w:rFonts w:eastAsia="黑体"/>
        </w:rPr>
      </w:pPr>
      <w:r>
        <w:rPr>
          <w:rFonts w:hint="eastAsia" w:eastAsia="黑体"/>
        </w:rPr>
        <w:t>附录D</w:t>
      </w:r>
    </w:p>
    <w:p w14:paraId="5D0DB0C7">
      <w:pPr>
        <w:jc w:val="center"/>
        <w:rPr>
          <w:rFonts w:eastAsia="黑体"/>
        </w:rPr>
      </w:pPr>
      <w:r>
        <w:rPr>
          <w:rFonts w:hint="eastAsia" w:eastAsia="黑体"/>
        </w:rPr>
        <w:t>（资料性）</w:t>
      </w:r>
    </w:p>
    <w:p w14:paraId="625F0D87">
      <w:pPr>
        <w:jc w:val="center"/>
        <w:rPr>
          <w:rFonts w:eastAsia="黑体"/>
        </w:rPr>
      </w:pPr>
      <w:r>
        <w:rPr>
          <w:rFonts w:hint="eastAsia" w:eastAsia="黑体"/>
        </w:rPr>
        <w:t xml:space="preserve"> 主要实验方法</w:t>
      </w:r>
    </w:p>
    <w:p w14:paraId="6600AA62">
      <w:pPr>
        <w:pStyle w:val="2"/>
      </w:pPr>
    </w:p>
    <w:p w14:paraId="6AEE9B0E">
      <w:pPr>
        <w:pStyle w:val="47"/>
        <w:numPr>
          <w:ilvl w:val="0"/>
          <w:numId w:val="0"/>
        </w:numPr>
        <w:spacing w:before="156" w:beforeLines="50" w:after="156" w:afterLines="50"/>
        <w:rPr>
          <w:rFonts w:hint="eastAsia" w:hAnsi="黑体" w:cs="黑体"/>
        </w:rPr>
      </w:pPr>
      <w:r>
        <w:rPr>
          <w:rFonts w:hint="eastAsia" w:hAnsi="黑体" w:cs="黑体"/>
        </w:rPr>
        <w:t>D.1 基因组DNA裂解</w:t>
      </w:r>
    </w:p>
    <w:p w14:paraId="67E9F38E">
      <w:pPr>
        <w:pStyle w:val="23"/>
        <w:ind w:firstLine="0" w:firstLineChars="0"/>
        <w:rPr>
          <w:rFonts w:hint="eastAsia" w:ascii="黑体" w:hAnsi="黑体" w:eastAsia="黑体" w:cs="黑体"/>
        </w:rPr>
      </w:pPr>
      <w:r>
        <w:rPr>
          <w:rFonts w:hint="eastAsia" w:ascii="黑体" w:hAnsi="黑体" w:eastAsia="黑体" w:cs="黑体"/>
        </w:rPr>
        <w:t>D.1.1 CTAB法</w:t>
      </w:r>
    </w:p>
    <w:p w14:paraId="34450112">
      <w:pPr>
        <w:pStyle w:val="23"/>
        <w:spacing w:before="156" w:beforeLines="50" w:after="156" w:afterLines="50"/>
        <w:rPr>
          <w:rFonts w:ascii="Times New Roman"/>
        </w:rPr>
      </w:pPr>
      <w:r>
        <w:rPr>
          <w:rFonts w:hint="eastAsia" w:ascii="Times New Roman"/>
        </w:rPr>
        <w:t>CTAB（十六烷基三甲基溴化铵）是一种阳离子去污剂，可以溶解细胞膜，与核酸结合形成在高盐环境下可溶的复合物。</w:t>
      </w:r>
    </w:p>
    <w:p w14:paraId="438FED65">
      <w:pPr>
        <w:pStyle w:val="23"/>
        <w:ind w:firstLine="0" w:firstLineChars="0"/>
        <w:rPr>
          <w:rFonts w:hint="eastAsia" w:ascii="黑体" w:hAnsi="黑体" w:eastAsia="黑体" w:cs="黑体"/>
        </w:rPr>
      </w:pPr>
      <w:r>
        <w:rPr>
          <w:rFonts w:hint="eastAsia" w:ascii="黑体" w:hAnsi="黑体" w:eastAsia="黑体" w:cs="黑体"/>
        </w:rPr>
        <w:t>D.1.2 SDS法</w:t>
      </w:r>
    </w:p>
    <w:p w14:paraId="5B331C46">
      <w:pPr>
        <w:pStyle w:val="23"/>
        <w:spacing w:before="156" w:beforeLines="50" w:after="156" w:afterLines="50"/>
        <w:rPr>
          <w:rFonts w:ascii="Times New Roman"/>
        </w:rPr>
      </w:pPr>
      <w:r>
        <w:rPr>
          <w:rFonts w:hint="eastAsia" w:ascii="Times New Roman"/>
        </w:rPr>
        <w:t>SDS法（十二烷基硫酸钠）是一种阴离子去垢剂，高温（55-60</w:t>
      </w:r>
      <w:r>
        <w:rPr>
          <w:rFonts w:ascii="Times New Roman"/>
        </w:rPr>
        <w:t>℃</w:t>
      </w:r>
      <w:r>
        <w:rPr>
          <w:rFonts w:hint="eastAsia" w:ascii="Times New Roman"/>
        </w:rPr>
        <w:t>）裂解细胞，蛋白变性，染色体离析，在高盐环境下或降低温度后蛋白、多糖等结合形成的复合物沉淀，释放核酸。</w:t>
      </w:r>
    </w:p>
    <w:p w14:paraId="298D7076">
      <w:pPr>
        <w:pStyle w:val="47"/>
        <w:numPr>
          <w:ilvl w:val="0"/>
          <w:numId w:val="0"/>
        </w:numPr>
        <w:spacing w:before="156" w:beforeLines="50" w:after="156" w:afterLines="50"/>
        <w:rPr>
          <w:rFonts w:hint="eastAsia" w:hAnsi="黑体" w:cs="黑体"/>
        </w:rPr>
      </w:pPr>
      <w:r>
        <w:rPr>
          <w:rFonts w:hint="eastAsia" w:hAnsi="黑体" w:cs="黑体"/>
        </w:rPr>
        <w:t>D.2 质粒DNA裂解</w:t>
      </w:r>
    </w:p>
    <w:p w14:paraId="56DFC103">
      <w:pPr>
        <w:pStyle w:val="23"/>
        <w:ind w:firstLine="0" w:firstLineChars="0"/>
        <w:rPr>
          <w:rFonts w:hint="eastAsia" w:ascii="黑体" w:hAnsi="黑体" w:eastAsia="黑体" w:cs="黑体"/>
        </w:rPr>
      </w:pPr>
      <w:r>
        <w:rPr>
          <w:rFonts w:hint="eastAsia" w:ascii="黑体" w:hAnsi="黑体" w:eastAsia="黑体" w:cs="黑体"/>
        </w:rPr>
        <w:t>D.2.1 碱裂解-SDS法</w:t>
      </w:r>
    </w:p>
    <w:p w14:paraId="65466D3A">
      <w:pPr>
        <w:pStyle w:val="23"/>
        <w:spacing w:before="156" w:beforeLines="50" w:after="156" w:afterLines="50"/>
        <w:rPr>
          <w:rFonts w:ascii="Times New Roman"/>
        </w:rPr>
      </w:pPr>
      <w:r>
        <w:rPr>
          <w:rFonts w:hint="eastAsia" w:ascii="Times New Roman"/>
        </w:rPr>
        <w:t>在氢氧化钠（PH12-12.6碱性环境）和去污剂SDS的作用下细胞破裂，细菌蛋白质和染色体DNA变性，双链DNA氢键断裂，DNA变性。加入酸性高盐缓冲液后PH恢复中性，共价闭合环状质粒DNA复性速度快于线性的染色体DNA。细菌蛋白质、破裂的细胞壁和变性的染色体DNA会相互缠绕成大型复合物被SDS包盖。之后复合物沉淀下来，质粒DNA留在上清中。</w:t>
      </w:r>
    </w:p>
    <w:p w14:paraId="4813A90F">
      <w:pPr>
        <w:pStyle w:val="23"/>
        <w:ind w:firstLine="0" w:firstLineChars="0"/>
        <w:rPr>
          <w:rFonts w:hint="eastAsia" w:ascii="黑体" w:hAnsi="黑体" w:eastAsia="黑体" w:cs="黑体"/>
        </w:rPr>
      </w:pPr>
      <w:r>
        <w:rPr>
          <w:rFonts w:hint="eastAsia" w:ascii="黑体" w:hAnsi="黑体" w:eastAsia="黑体" w:cs="黑体"/>
        </w:rPr>
        <w:t>D.2.2 煮沸法</w:t>
      </w:r>
    </w:p>
    <w:p w14:paraId="219F1D83">
      <w:pPr>
        <w:pStyle w:val="23"/>
        <w:spacing w:before="156" w:beforeLines="50" w:after="156" w:afterLines="50"/>
        <w:rPr>
          <w:rFonts w:ascii="Times New Roman"/>
        </w:rPr>
      </w:pPr>
      <w:r>
        <w:rPr>
          <w:rFonts w:hint="eastAsia" w:ascii="Times New Roman"/>
        </w:rPr>
        <w:t>含有Triton X-100和溶菌酶的缓冲液中加热至100</w:t>
      </w:r>
      <w:r>
        <w:rPr>
          <w:rFonts w:ascii="Times New Roman"/>
        </w:rPr>
        <w:t>℃</w:t>
      </w:r>
      <w:r>
        <w:rPr>
          <w:rFonts w:hint="eastAsia" w:ascii="Times New Roman"/>
        </w:rPr>
        <w:t>使细菌裂解。通过加热破坏细菌外壁的同时有助于解开DNA链的碱基配对，并使蛋白质和染色体DNA变性。温度下降后，闭环DNA形成超螺旋分子，离心时留在上清中。</w:t>
      </w:r>
    </w:p>
    <w:p w14:paraId="0CD7F943">
      <w:pPr>
        <w:pStyle w:val="47"/>
        <w:numPr>
          <w:ilvl w:val="0"/>
          <w:numId w:val="0"/>
        </w:numPr>
        <w:spacing w:before="156" w:beforeLines="50" w:after="156" w:afterLines="50"/>
        <w:rPr>
          <w:rFonts w:hint="eastAsia" w:hAnsi="黑体" w:cs="黑体"/>
        </w:rPr>
      </w:pPr>
      <w:r>
        <w:rPr>
          <w:rFonts w:hint="eastAsia" w:hAnsi="黑体" w:cs="黑体"/>
        </w:rPr>
        <w:t>D.3  DNA分离纯化</w:t>
      </w:r>
    </w:p>
    <w:p w14:paraId="5A610BFB">
      <w:pPr>
        <w:pStyle w:val="23"/>
        <w:ind w:firstLine="0" w:firstLineChars="0"/>
        <w:rPr>
          <w:rFonts w:hint="eastAsia" w:ascii="黑体" w:hAnsi="黑体" w:eastAsia="黑体" w:cs="黑体"/>
        </w:rPr>
      </w:pPr>
      <w:r>
        <w:rPr>
          <w:rFonts w:hint="eastAsia" w:ascii="黑体" w:hAnsi="黑体" w:eastAsia="黑体" w:cs="黑体"/>
        </w:rPr>
        <w:t>D.3.1 酚氯仿抽提法</w:t>
      </w:r>
    </w:p>
    <w:p w14:paraId="64EADA32">
      <w:pPr>
        <w:pStyle w:val="23"/>
        <w:spacing w:before="156" w:beforeLines="50" w:after="156" w:afterLines="50"/>
        <w:rPr>
          <w:rFonts w:ascii="Times New Roman"/>
        </w:rPr>
      </w:pPr>
      <w:r>
        <w:rPr>
          <w:rFonts w:hint="eastAsia" w:ascii="Times New Roman"/>
        </w:rPr>
        <w:t>该方法包括两个步骤：1）利用酚氯仿对裂解体系进行反复抽提，使蛋白质变性，以去除蛋白质，实现DNA与蛋白质的分离；2）再用醇将DNA沉淀下来，实现核酸与盐的分离。</w:t>
      </w:r>
    </w:p>
    <w:p w14:paraId="5CEDDAB5">
      <w:pPr>
        <w:pStyle w:val="23"/>
        <w:ind w:firstLine="0" w:firstLineChars="0"/>
        <w:rPr>
          <w:rFonts w:hint="eastAsia" w:ascii="黑体" w:hAnsi="黑体" w:eastAsia="黑体" w:cs="黑体"/>
        </w:rPr>
      </w:pPr>
      <w:r>
        <w:rPr>
          <w:rFonts w:hint="eastAsia" w:ascii="黑体" w:hAnsi="黑体" w:eastAsia="黑体" w:cs="黑体"/>
        </w:rPr>
        <w:t>D.3.2 离心柱法</w:t>
      </w:r>
    </w:p>
    <w:p w14:paraId="2FF2D606">
      <w:pPr>
        <w:pStyle w:val="23"/>
        <w:spacing w:before="156" w:beforeLines="50" w:after="156" w:afterLines="50"/>
        <w:rPr>
          <w:rFonts w:ascii="Times New Roman"/>
        </w:rPr>
      </w:pPr>
      <w:r>
        <w:rPr>
          <w:rFonts w:hint="eastAsia" w:ascii="Times New Roman"/>
        </w:rPr>
        <w:t>独特的结合液/蛋白酶K迅速裂解细胞和灭活细胞内核酸酶，然后基因组DNA在高盐状态下选择性吸附于离心柱内硅基质膜，再通过一系列快速的漂洗－离心的步骤,抑制物去除液和漂洗液将细胞代谢物，蛋白等杂质去除，最后低盐的洗脱缓冲液将纯净基因组DNA从硅基质膜上洗脱。</w:t>
      </w:r>
    </w:p>
    <w:p w14:paraId="50C6AF1B">
      <w:pPr>
        <w:pStyle w:val="23"/>
        <w:ind w:firstLine="0" w:firstLineChars="0"/>
        <w:rPr>
          <w:rFonts w:hint="eastAsia" w:ascii="黑体" w:hAnsi="黑体" w:eastAsia="黑体" w:cs="黑体"/>
        </w:rPr>
      </w:pPr>
      <w:r>
        <w:rPr>
          <w:rFonts w:hint="eastAsia" w:ascii="黑体" w:hAnsi="黑体" w:eastAsia="黑体" w:cs="黑体"/>
        </w:rPr>
        <w:t>D.3.3 磁珠法</w:t>
      </w:r>
    </w:p>
    <w:p w14:paraId="1C68AE1B">
      <w:pPr>
        <w:pStyle w:val="23"/>
        <w:spacing w:before="156" w:beforeLines="50" w:after="156" w:afterLines="50"/>
        <w:rPr>
          <w:rFonts w:ascii="Times New Roman"/>
        </w:rPr>
      </w:pPr>
      <w:r>
        <w:rPr>
          <w:rFonts w:hint="eastAsia" w:ascii="Times New Roman"/>
        </w:rPr>
        <w:t>将纯化介质包被在纳米级的磁珠表面，通过介质对DNA的吸附，在外加磁场的作用下使DNA附着于磁珠并定向移动，从而达到核酸与其它物质分离的目的。</w:t>
      </w:r>
    </w:p>
    <w:p w14:paraId="09657D7C">
      <w:pPr>
        <w:pStyle w:val="47"/>
        <w:numPr>
          <w:ilvl w:val="0"/>
          <w:numId w:val="0"/>
        </w:numPr>
        <w:spacing w:before="156" w:beforeLines="50" w:after="156" w:afterLines="50"/>
        <w:rPr>
          <w:rFonts w:hint="eastAsia" w:hAnsi="黑体" w:cs="黑体"/>
        </w:rPr>
      </w:pPr>
      <w:r>
        <w:rPr>
          <w:rFonts w:hint="eastAsia" w:hAnsi="黑体" w:cs="黑体"/>
        </w:rPr>
        <w:t>D.4  RNA提取</w:t>
      </w:r>
    </w:p>
    <w:p w14:paraId="7BA6EFF4">
      <w:pPr>
        <w:rPr>
          <w:kern w:val="0"/>
          <w:szCs w:val="20"/>
        </w:rPr>
      </w:pPr>
      <w:r>
        <w:rPr>
          <w:rFonts w:hint="eastAsia"/>
        </w:rPr>
        <w:t xml:space="preserve">     Trizol溶液</w:t>
      </w:r>
      <w:r>
        <w:rPr>
          <w:rFonts w:hint="eastAsia"/>
          <w:kern w:val="0"/>
          <w:szCs w:val="20"/>
        </w:rPr>
        <w:t>使蛋白质和RNase变性并分离，释放RNA至溶液中。加入氯仿后进行离心，样品分层为无色的水样层和黄色的有机层，在酸性条件下总RNA保留在上层水相中。大部分DNA和蛋白质保留在中间相或下层有机相。收集上述水样层，通过异丙醇沉淀回收RNA。</w:t>
      </w:r>
    </w:p>
    <w:p w14:paraId="0EF277D9">
      <w:pPr>
        <w:rPr>
          <w:rFonts w:eastAsia="黑体"/>
        </w:rPr>
      </w:pPr>
      <w:r>
        <w:rPr>
          <w:rFonts w:hint="eastAsia" w:eastAsia="黑体"/>
        </w:rPr>
        <w:br w:type="page"/>
      </w:r>
    </w:p>
    <w:p w14:paraId="4AF1217F">
      <w:pPr>
        <w:jc w:val="center"/>
        <w:rPr>
          <w:rFonts w:eastAsia="黑体"/>
        </w:rPr>
      </w:pPr>
    </w:p>
    <w:p w14:paraId="0B5A62F0">
      <w:pPr>
        <w:jc w:val="center"/>
        <w:rPr>
          <w:rFonts w:hint="eastAsia" w:ascii="黑体" w:hAnsi="黑体" w:eastAsia="黑体" w:cs="黑体"/>
        </w:rPr>
      </w:pPr>
      <w:r>
        <w:rPr>
          <w:rFonts w:hint="eastAsia" w:ascii="黑体" w:hAnsi="黑体" w:eastAsia="黑体" w:cs="黑体"/>
        </w:rPr>
        <w:t>附录E</w:t>
      </w:r>
    </w:p>
    <w:p w14:paraId="64A9C6A2">
      <w:pPr>
        <w:jc w:val="center"/>
        <w:rPr>
          <w:rFonts w:hint="eastAsia" w:ascii="黑体" w:hAnsi="黑体" w:eastAsia="黑体" w:cs="黑体"/>
        </w:rPr>
      </w:pPr>
      <w:r>
        <w:rPr>
          <w:rFonts w:hint="eastAsia" w:ascii="黑体" w:hAnsi="黑体" w:eastAsia="黑体" w:cs="黑体"/>
        </w:rPr>
        <w:t xml:space="preserve">（资料性） </w:t>
      </w:r>
    </w:p>
    <w:p w14:paraId="28C1F97C">
      <w:pPr>
        <w:jc w:val="center"/>
        <w:rPr>
          <w:rFonts w:hint="eastAsia" w:ascii="黑体" w:hAnsi="黑体" w:eastAsia="黑体" w:cs="黑体"/>
        </w:rPr>
      </w:pPr>
      <w:r>
        <w:rPr>
          <w:rFonts w:hint="eastAsia" w:ascii="黑体" w:hAnsi="黑体" w:eastAsia="黑体" w:cs="黑体"/>
        </w:rPr>
        <w:t>二代测序仪测序步骤</w:t>
      </w:r>
    </w:p>
    <w:p w14:paraId="6F0E8C8C">
      <w:pPr>
        <w:pStyle w:val="2"/>
      </w:pPr>
    </w:p>
    <w:p w14:paraId="13BC7D76">
      <w:pPr>
        <w:rPr>
          <w:rFonts w:hint="eastAsia" w:ascii="黑体" w:hAnsi="黑体" w:eastAsia="黑体" w:cs="黑体"/>
        </w:rPr>
      </w:pPr>
      <w:r>
        <w:rPr>
          <w:rFonts w:hint="eastAsia" w:ascii="黑体" w:hAnsi="黑体" w:eastAsia="黑体" w:cs="黑体"/>
        </w:rPr>
        <w:t>E.1  吸附和互补链合成</w:t>
      </w:r>
    </w:p>
    <w:p w14:paraId="548BC3DA">
      <w:pPr>
        <w:pStyle w:val="23"/>
        <w:spacing w:before="156" w:beforeLines="50" w:after="156" w:afterLines="50"/>
        <w:rPr>
          <w:rFonts w:ascii="Times New Roman"/>
        </w:rPr>
      </w:pPr>
      <w:r>
        <w:rPr>
          <w:rFonts w:hint="eastAsia" w:ascii="Times New Roman"/>
        </w:rPr>
        <w:t>制备好的单链DNA文库P5序列与Flowcell的P5</w:t>
      </w:r>
      <w:r>
        <w:rPr>
          <w:rFonts w:ascii="Times New Roman"/>
        </w:rPr>
        <w:t>'</w:t>
      </w:r>
      <w:r>
        <w:rPr>
          <w:rFonts w:hint="eastAsia" w:ascii="Times New Roman"/>
        </w:rPr>
        <w:t>互补，吸附在芯片上。以寡核苷酸为引物、文库片段为模板，在DNA聚合酶的作用下，从杂交点的3'端到5'端延伸合成互补链，形成双链DNA。解链后原始文库中的DNA链，留下新合成的单链DNA。</w:t>
      </w:r>
    </w:p>
    <w:p w14:paraId="6F5B36D0">
      <w:pPr>
        <w:rPr>
          <w:rFonts w:hint="eastAsia" w:ascii="黑体" w:hAnsi="黑体" w:eastAsia="黑体" w:cs="黑体"/>
        </w:rPr>
      </w:pPr>
      <w:r>
        <w:rPr>
          <w:rFonts w:hint="eastAsia" w:ascii="黑体" w:hAnsi="黑体" w:eastAsia="黑体" w:cs="黑体"/>
        </w:rPr>
        <w:t>E.2 “桥”式扩增</w:t>
      </w:r>
    </w:p>
    <w:p w14:paraId="637A84FA">
      <w:pPr>
        <w:pStyle w:val="23"/>
        <w:spacing w:before="156" w:beforeLines="50" w:after="156" w:afterLines="50"/>
        <w:rPr>
          <w:rFonts w:ascii="Times New Roman"/>
        </w:rPr>
      </w:pPr>
      <w:r>
        <w:rPr>
          <w:rFonts w:hint="eastAsia" w:ascii="Times New Roman"/>
        </w:rPr>
        <w:t>单链DNA另一端的接头序列与相邻的另一种寡核苷酸互补结合，进行“桥”式扩增，形成DNA簇，通过特定的酶切除与flowcell上P7序列不结合的DNA链（即反链），只保留与P7结合的DNA链。</w:t>
      </w:r>
    </w:p>
    <w:p w14:paraId="5011849C">
      <w:pPr>
        <w:rPr>
          <w:rFonts w:hint="eastAsia" w:ascii="黑体" w:hAnsi="黑体" w:eastAsia="黑体" w:cs="黑体"/>
        </w:rPr>
      </w:pPr>
      <w:r>
        <w:rPr>
          <w:rFonts w:hint="eastAsia" w:ascii="黑体" w:hAnsi="黑体" w:eastAsia="黑体" w:cs="黑体"/>
        </w:rPr>
        <w:t>E.3  Reads读取</w:t>
      </w:r>
    </w:p>
    <w:p w14:paraId="64B8A0D8">
      <w:pPr>
        <w:pStyle w:val="23"/>
        <w:spacing w:before="156" w:beforeLines="50" w:after="156" w:afterLines="50"/>
        <w:rPr>
          <w:rFonts w:ascii="Times New Roman"/>
        </w:rPr>
      </w:pPr>
      <w:r>
        <w:rPr>
          <w:rFonts w:hint="eastAsia" w:ascii="Times New Roman"/>
        </w:rPr>
        <w:t>流通池中加入测序引物、DNA聚合酶、不同颜色的可逆终止荧光基团dNTP。一个循环延长一个碱基，洗脱游离的dNTP，激光扫描判断碱基种类。一个循环结束后加入化学试剂将叠氮基团和标记的荧光基团切掉，再加入新的dNTP和聚合酶进入下一个碱基的测序反应。</w:t>
      </w:r>
    </w:p>
    <w:p w14:paraId="41184860">
      <w:pPr>
        <w:rPr>
          <w:rFonts w:hint="eastAsia" w:ascii="黑体" w:hAnsi="黑体" w:eastAsia="黑体" w:cs="黑体"/>
        </w:rPr>
      </w:pPr>
      <w:r>
        <w:rPr>
          <w:rFonts w:hint="eastAsia" w:ascii="黑体" w:hAnsi="黑体" w:eastAsia="黑体" w:cs="黑体"/>
        </w:rPr>
        <w:t>E.4  Index读取</w:t>
      </w:r>
    </w:p>
    <w:p w14:paraId="2E13B77F">
      <w:pPr>
        <w:pStyle w:val="23"/>
        <w:spacing w:before="156" w:beforeLines="50" w:after="156" w:afterLines="50"/>
        <w:rPr>
          <w:rFonts w:ascii="Times New Roman"/>
        </w:rPr>
      </w:pPr>
      <w:r>
        <w:rPr>
          <w:rFonts w:hint="eastAsia" w:ascii="Times New Roman"/>
        </w:rPr>
        <w:t>Read读取完成，洗去前面的产物，加入index的测序引物，读取每个样本特定的index(又称barcode)，用于标记样本来源。</w:t>
      </w:r>
    </w:p>
    <w:p w14:paraId="0038E2E1">
      <w:pPr>
        <w:pStyle w:val="2"/>
        <w:rPr>
          <w:rFonts w:eastAsia="黑体"/>
          <w:color w:val="auto"/>
        </w:rPr>
      </w:pPr>
    </w:p>
    <w:p w14:paraId="67B3D468">
      <w:pPr>
        <w:rPr>
          <w:rFonts w:eastAsia="黑体"/>
        </w:rPr>
      </w:pPr>
      <w:r>
        <w:rPr>
          <w:rFonts w:hint="eastAsia" w:eastAsia="黑体"/>
        </w:rPr>
        <w:br w:type="page"/>
      </w:r>
    </w:p>
    <w:p w14:paraId="18D0AA91">
      <w:pPr>
        <w:jc w:val="center"/>
        <w:rPr>
          <w:rFonts w:eastAsia="黑体"/>
        </w:rPr>
      </w:pPr>
    </w:p>
    <w:p w14:paraId="07C2EADC">
      <w:pPr>
        <w:spacing w:line="240" w:lineRule="auto"/>
        <w:jc w:val="center"/>
        <w:rPr>
          <w:rFonts w:hint="eastAsia" w:ascii="黑体" w:hAnsi="黑体" w:eastAsia="黑体" w:cs="黑体"/>
        </w:rPr>
      </w:pPr>
      <w:r>
        <w:rPr>
          <w:rFonts w:hint="eastAsia" w:ascii="黑体" w:hAnsi="黑体" w:eastAsia="黑体" w:cs="黑体"/>
        </w:rPr>
        <w:t>附录F</w:t>
      </w:r>
    </w:p>
    <w:p w14:paraId="00E4A0C7">
      <w:pPr>
        <w:spacing w:line="240" w:lineRule="auto"/>
        <w:jc w:val="center"/>
        <w:rPr>
          <w:rFonts w:hint="eastAsia" w:ascii="黑体" w:hAnsi="黑体" w:eastAsia="黑体" w:cs="黑体"/>
        </w:rPr>
      </w:pPr>
      <w:r>
        <w:rPr>
          <w:rFonts w:hint="eastAsia" w:ascii="黑体" w:hAnsi="黑体" w:eastAsia="黑体" w:cs="黑体"/>
        </w:rPr>
        <w:t>（资料性）</w:t>
      </w:r>
    </w:p>
    <w:p w14:paraId="638C9F62">
      <w:pPr>
        <w:spacing w:line="240" w:lineRule="auto"/>
        <w:jc w:val="center"/>
        <w:rPr>
          <w:rFonts w:hint="eastAsia" w:ascii="黑体" w:hAnsi="黑体" w:eastAsia="黑体" w:cs="黑体"/>
        </w:rPr>
      </w:pPr>
      <w:r>
        <w:rPr>
          <w:rFonts w:hint="eastAsia" w:ascii="黑体" w:hAnsi="黑体" w:eastAsia="黑体" w:cs="黑体"/>
        </w:rPr>
        <w:t xml:space="preserve"> 寡核苷酸（oligo）片段合成步骤</w:t>
      </w:r>
    </w:p>
    <w:p w14:paraId="17E9BB19">
      <w:pPr>
        <w:rPr>
          <w:rFonts w:eastAsia="黑体"/>
        </w:rPr>
      </w:pPr>
    </w:p>
    <w:p w14:paraId="3B7AA83B">
      <w:pPr>
        <w:rPr>
          <w:rFonts w:hint="eastAsia" w:ascii="黑体" w:hAnsi="黑体" w:eastAsia="黑体" w:cs="黑体"/>
        </w:rPr>
      </w:pPr>
      <w:r>
        <w:rPr>
          <w:rFonts w:hint="eastAsia" w:ascii="黑体" w:hAnsi="黑体" w:eastAsia="黑体" w:cs="黑体"/>
        </w:rPr>
        <w:t>F.1 脱保护</w:t>
      </w:r>
    </w:p>
    <w:p w14:paraId="1621E2C9">
      <w:pPr>
        <w:pStyle w:val="23"/>
        <w:spacing w:before="156" w:beforeLines="50" w:after="156" w:afterLines="50"/>
        <w:rPr>
          <w:rFonts w:ascii="Times New Roman"/>
        </w:rPr>
      </w:pPr>
      <w:r>
        <w:rPr>
          <w:rFonts w:ascii="Times New Roman"/>
        </w:rPr>
        <w:t>将预先连接在固相载体可控孔度玻璃（CPG）上的活性基团被保护的核苷酸与三氯乙酸（TCA）反应，脱去其5'-羟基的保护基团二甲氧基三苯甲基（DMT），获得游离的5'-羟基；</w:t>
      </w:r>
    </w:p>
    <w:p w14:paraId="4408C832">
      <w:pPr>
        <w:rPr>
          <w:rFonts w:hint="eastAsia" w:ascii="黑体" w:hAnsi="黑体" w:eastAsia="黑体" w:cs="黑体"/>
        </w:rPr>
      </w:pPr>
      <w:r>
        <w:rPr>
          <w:rFonts w:hint="eastAsia" w:ascii="黑体" w:hAnsi="黑体" w:eastAsia="黑体" w:cs="黑体"/>
        </w:rPr>
        <w:t>F.2</w:t>
      </w:r>
      <w:r>
        <w:rPr>
          <w:rFonts w:ascii="黑体" w:hAnsi="黑体" w:eastAsia="黑体" w:cs="黑体"/>
        </w:rPr>
        <w:t xml:space="preserve"> 耦连</w:t>
      </w:r>
    </w:p>
    <w:p w14:paraId="0D7A697B">
      <w:pPr>
        <w:pStyle w:val="23"/>
        <w:spacing w:before="156" w:beforeLines="50" w:after="156" w:afterLines="50"/>
        <w:rPr>
          <w:rFonts w:ascii="Times New Roman"/>
        </w:rPr>
      </w:pPr>
      <w:r>
        <w:rPr>
          <w:rFonts w:ascii="Times New Roman"/>
        </w:rPr>
        <w:t>合成DNA的原料</w:t>
      </w:r>
      <w:r>
        <w:rPr>
          <w:rFonts w:hint="eastAsia" w:ascii="Times New Roman"/>
          <w:lang w:eastAsia="zh-CN"/>
        </w:rPr>
        <w:t>—</w:t>
      </w:r>
      <w:r>
        <w:rPr>
          <w:rFonts w:ascii="Times New Roman"/>
        </w:rPr>
        <w:t>亚磷酰胺保护核苷酸单体，与活化剂四氮唑混合，得到核苷亚磷酸活化中间体，其3'端被活化，5'-羟基仍然被DMT保护，亚磷酰胺四唑活性中间体与CPG上核苷酸的游离5'-羟基发生亲和反应，缩合并脱去四唑，此时合成的寡核苷酸链延长一个碱基。</w:t>
      </w:r>
    </w:p>
    <w:p w14:paraId="1080AD65">
      <w:pPr>
        <w:rPr>
          <w:rFonts w:hint="eastAsia" w:ascii="黑体" w:hAnsi="黑体" w:eastAsia="黑体" w:cs="黑体"/>
        </w:rPr>
      </w:pPr>
      <w:r>
        <w:rPr>
          <w:rFonts w:hint="eastAsia" w:ascii="黑体" w:hAnsi="黑体" w:eastAsia="黑体" w:cs="黑体"/>
        </w:rPr>
        <w:t>F.3</w:t>
      </w:r>
      <w:r>
        <w:rPr>
          <w:rFonts w:ascii="黑体" w:hAnsi="黑体" w:eastAsia="黑体" w:cs="黑体"/>
        </w:rPr>
        <w:t xml:space="preserve"> 盖帽</w:t>
      </w:r>
    </w:p>
    <w:p w14:paraId="20991FF3">
      <w:pPr>
        <w:pStyle w:val="23"/>
        <w:spacing w:before="156" w:beforeLines="50" w:after="156" w:afterLines="50"/>
        <w:rPr>
          <w:rFonts w:ascii="Times New Roman"/>
        </w:rPr>
      </w:pPr>
      <w:r>
        <w:rPr>
          <w:rFonts w:ascii="Times New Roman"/>
        </w:rPr>
        <w:t>缩合反应中可能有极少数5'-羟基没有参加反应（少于2%)，如果没有被封闭，这些羟基基团将在下一个循环中反应，从而导致缺失碱基。因此用乙酸酐和1-甲基咪唑终止其继续发生反应，这种短片段可以在纯化时分离掉。</w:t>
      </w:r>
    </w:p>
    <w:p w14:paraId="2F511824">
      <w:pPr>
        <w:rPr>
          <w:rFonts w:hint="eastAsia" w:ascii="黑体" w:hAnsi="黑体" w:eastAsia="黑体" w:cs="黑体"/>
        </w:rPr>
      </w:pPr>
      <w:r>
        <w:rPr>
          <w:rFonts w:hint="eastAsia" w:ascii="黑体" w:hAnsi="黑体" w:eastAsia="黑体" w:cs="黑体"/>
        </w:rPr>
        <w:t>F.</w:t>
      </w:r>
      <w:r>
        <w:rPr>
          <w:rFonts w:ascii="黑体" w:hAnsi="黑体" w:eastAsia="黑体" w:cs="黑体"/>
        </w:rPr>
        <w:t>4 氧化</w:t>
      </w:r>
    </w:p>
    <w:p w14:paraId="763F2BD3">
      <w:pPr>
        <w:pStyle w:val="23"/>
        <w:spacing w:before="156" w:beforeLines="50" w:after="156" w:afterLines="50"/>
        <w:rPr>
          <w:rFonts w:ascii="Times New Roman"/>
        </w:rPr>
      </w:pPr>
      <w:r>
        <w:rPr>
          <w:rFonts w:ascii="Times New Roman"/>
        </w:rPr>
        <w:t>由于亚磷酸三酯不稳定，在水和吡啶存在下用碘实现亚磷酸三酯的氧化，生成磷酸三酯。</w:t>
      </w:r>
    </w:p>
    <w:p w14:paraId="047C51F5">
      <w:pPr>
        <w:rPr>
          <w:rFonts w:hint="eastAsia" w:ascii="黑体" w:hAnsi="黑体" w:eastAsia="黑体" w:cs="黑体"/>
        </w:rPr>
      </w:pPr>
      <w:r>
        <w:rPr>
          <w:rFonts w:hint="eastAsia" w:ascii="黑体" w:hAnsi="黑体" w:eastAsia="黑体" w:cs="黑体"/>
        </w:rPr>
        <w:t>F.5</w:t>
      </w:r>
      <w:r>
        <w:rPr>
          <w:rFonts w:ascii="黑体" w:hAnsi="黑体" w:eastAsia="黑体" w:cs="黑体"/>
        </w:rPr>
        <w:t xml:space="preserve"> 循环</w:t>
      </w:r>
    </w:p>
    <w:p w14:paraId="4A95BC97">
      <w:pPr>
        <w:pStyle w:val="23"/>
        <w:spacing w:before="156" w:beforeLines="50" w:after="156" w:afterLines="50"/>
        <w:rPr>
          <w:rFonts w:ascii="Times New Roman"/>
        </w:rPr>
      </w:pPr>
      <w:r>
        <w:rPr>
          <w:rFonts w:ascii="Times New Roman"/>
        </w:rPr>
        <w:t>经过以上四个步骤，一个脱氧核苷酸被连接到固相载体的核苷酸上。再以TCA脱去它的5'-羟基上的保护基团DMT，重复以上步骤，直到所有要求合成的碱基被接上去。合成过程中可以观察TCA处理阶段的颜色判定合成效率。</w:t>
      </w:r>
    </w:p>
    <w:p w14:paraId="5BE674D1">
      <w:pPr>
        <w:rPr>
          <w:kern w:val="0"/>
          <w:szCs w:val="20"/>
        </w:rPr>
      </w:pPr>
      <w:r>
        <w:rPr>
          <w:kern w:val="0"/>
          <w:szCs w:val="20"/>
        </w:rPr>
        <w:br w:type="page"/>
      </w:r>
    </w:p>
    <w:p w14:paraId="27609484">
      <w:pPr>
        <w:jc w:val="center"/>
        <w:rPr>
          <w:rFonts w:hint="eastAsia" w:ascii="黑体" w:hAnsi="黑体" w:eastAsia="黑体" w:cs="黑体"/>
        </w:rPr>
      </w:pPr>
    </w:p>
    <w:p w14:paraId="133EB394">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rPr>
      </w:pPr>
      <w:r>
        <w:rPr>
          <w:rFonts w:hint="eastAsia" w:ascii="黑体" w:hAnsi="黑体" w:eastAsia="黑体" w:cs="黑体"/>
        </w:rPr>
        <w:t xml:space="preserve">附录G </w:t>
      </w:r>
    </w:p>
    <w:p w14:paraId="321D498E">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rPr>
      </w:pPr>
      <w:r>
        <w:rPr>
          <w:rFonts w:hint="eastAsia" w:ascii="黑体" w:hAnsi="黑体" w:eastAsia="黑体" w:cs="黑体"/>
        </w:rPr>
        <w:t>（资料性）</w:t>
      </w:r>
    </w:p>
    <w:p w14:paraId="7CD1EBFE">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rPr>
      </w:pPr>
      <w:r>
        <w:rPr>
          <w:rFonts w:hint="eastAsia" w:ascii="黑体" w:hAnsi="黑体" w:eastAsia="黑体" w:cs="黑体"/>
        </w:rPr>
        <w:t>引物纯化方式</w:t>
      </w:r>
    </w:p>
    <w:p w14:paraId="76B1C42B">
      <w:pPr>
        <w:bidi w:val="0"/>
        <w:rPr>
          <w:rFonts w:hint="eastAsia"/>
        </w:rPr>
      </w:pPr>
      <w:bookmarkStart w:id="26" w:name="_GoBack"/>
      <w:bookmarkEnd w:id="26"/>
    </w:p>
    <w:p w14:paraId="2EA57F0A">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rPr>
      </w:pPr>
      <w:r>
        <w:rPr>
          <w:rFonts w:hint="eastAsia"/>
        </w:rPr>
        <w:t>针对不同的需求，选择不同的纯化方式。如下表所示：</w:t>
      </w:r>
    </w:p>
    <w:p w14:paraId="18496A10">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rPr>
          <w:rFonts w:hint="eastAsia" w:ascii="黑体" w:hAnsi="黑体" w:eastAsia="黑体" w:cs="黑体"/>
        </w:rPr>
      </w:pPr>
      <w:r>
        <w:rPr>
          <w:rFonts w:hint="eastAsia" w:ascii="黑体" w:hAnsi="黑体" w:eastAsia="黑体" w:cs="黑体"/>
        </w:rPr>
        <w:t>表G.1 引物不同用途不同纯化方式选择</w:t>
      </w:r>
    </w:p>
    <w:tbl>
      <w:tblPr>
        <w:tblStyle w:val="156"/>
        <w:tblW w:w="88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40"/>
        <w:gridCol w:w="1330"/>
        <w:gridCol w:w="1425"/>
        <w:gridCol w:w="1468"/>
        <w:gridCol w:w="1436"/>
      </w:tblGrid>
      <w:tr w14:paraId="3F6CEB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jc w:val="center"/>
        </w:trPr>
        <w:tc>
          <w:tcPr>
            <w:tcW w:w="3240" w:type="dxa"/>
            <w:vMerge w:val="restart"/>
            <w:vAlign w:val="center"/>
          </w:tcPr>
          <w:p w14:paraId="27C88E9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应用方向</w:t>
            </w:r>
          </w:p>
        </w:tc>
        <w:tc>
          <w:tcPr>
            <w:tcW w:w="5659" w:type="dxa"/>
            <w:gridSpan w:val="4"/>
          </w:tcPr>
          <w:p w14:paraId="5C7F1A35">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纯化方式及纯度</w:t>
            </w:r>
          </w:p>
        </w:tc>
      </w:tr>
      <w:tr w14:paraId="61872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6" w:hRule="atLeast"/>
          <w:jc w:val="center"/>
        </w:trPr>
        <w:tc>
          <w:tcPr>
            <w:tcW w:w="3240" w:type="dxa"/>
            <w:vMerge w:val="continue"/>
          </w:tcPr>
          <w:p w14:paraId="3AAD5F3E">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330" w:type="dxa"/>
          </w:tcPr>
          <w:p w14:paraId="1956EE0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DSL</w:t>
            </w:r>
          </w:p>
        </w:tc>
        <w:tc>
          <w:tcPr>
            <w:tcW w:w="1425" w:type="dxa"/>
          </w:tcPr>
          <w:p w14:paraId="5A30D8E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OPC</w:t>
            </w:r>
          </w:p>
        </w:tc>
        <w:tc>
          <w:tcPr>
            <w:tcW w:w="1468" w:type="dxa"/>
          </w:tcPr>
          <w:p w14:paraId="0296D4F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PAGE</w:t>
            </w:r>
          </w:p>
        </w:tc>
        <w:tc>
          <w:tcPr>
            <w:tcW w:w="1436" w:type="dxa"/>
          </w:tcPr>
          <w:p w14:paraId="7DDEA88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HPLC</w:t>
            </w:r>
          </w:p>
        </w:tc>
      </w:tr>
      <w:tr w14:paraId="35993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jc w:val="center"/>
        </w:trPr>
        <w:tc>
          <w:tcPr>
            <w:tcW w:w="3240" w:type="dxa"/>
          </w:tcPr>
          <w:p w14:paraId="30D1816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纯化效率</w:t>
            </w:r>
          </w:p>
        </w:tc>
        <w:tc>
          <w:tcPr>
            <w:tcW w:w="1330" w:type="dxa"/>
          </w:tcPr>
          <w:p w14:paraId="750AF2A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&gt;75%</w:t>
            </w:r>
          </w:p>
        </w:tc>
        <w:tc>
          <w:tcPr>
            <w:tcW w:w="1425" w:type="dxa"/>
          </w:tcPr>
          <w:p w14:paraId="44A8DFB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&gt;95%</w:t>
            </w:r>
          </w:p>
        </w:tc>
        <w:tc>
          <w:tcPr>
            <w:tcW w:w="1468" w:type="dxa"/>
          </w:tcPr>
          <w:p w14:paraId="32BD4BA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&gt;95%</w:t>
            </w:r>
          </w:p>
        </w:tc>
        <w:tc>
          <w:tcPr>
            <w:tcW w:w="1436" w:type="dxa"/>
          </w:tcPr>
          <w:p w14:paraId="5E00F0F8">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&gt;99%</w:t>
            </w:r>
          </w:p>
        </w:tc>
      </w:tr>
      <w:tr w14:paraId="3CEDE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jc w:val="center"/>
        </w:trPr>
        <w:tc>
          <w:tcPr>
            <w:tcW w:w="3240" w:type="dxa"/>
          </w:tcPr>
          <w:p w14:paraId="4C7510EA">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普通PCR/RT-PCR</w:t>
            </w:r>
          </w:p>
        </w:tc>
        <w:tc>
          <w:tcPr>
            <w:tcW w:w="1330" w:type="dxa"/>
          </w:tcPr>
          <w:p w14:paraId="63B7EE7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25" w:type="dxa"/>
          </w:tcPr>
          <w:p w14:paraId="55DD907E">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5D894F7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1D6B89CA">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3E01E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3240" w:type="dxa"/>
          </w:tcPr>
          <w:p w14:paraId="2F1C5C3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荧光定量PCR</w:t>
            </w:r>
          </w:p>
        </w:tc>
        <w:tc>
          <w:tcPr>
            <w:tcW w:w="1330" w:type="dxa"/>
          </w:tcPr>
          <w:p w14:paraId="7577C81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04EF38A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20E6DB10">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11D79639">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0BCC63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3240" w:type="dxa"/>
          </w:tcPr>
          <w:p w14:paraId="09A4794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全基因合成</w:t>
            </w:r>
          </w:p>
        </w:tc>
        <w:tc>
          <w:tcPr>
            <w:tcW w:w="1330" w:type="dxa"/>
          </w:tcPr>
          <w:p w14:paraId="29B4CDA7">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46C0B38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150834B6">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0D15A5F8">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095B3D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3240" w:type="dxa"/>
          </w:tcPr>
          <w:p w14:paraId="799D58F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一代测序（sanger)</w:t>
            </w:r>
          </w:p>
        </w:tc>
        <w:tc>
          <w:tcPr>
            <w:tcW w:w="1330" w:type="dxa"/>
          </w:tcPr>
          <w:p w14:paraId="119A3B56">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25" w:type="dxa"/>
          </w:tcPr>
          <w:p w14:paraId="5EBAFAD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0A6DCB3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5E56818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56775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 w:hRule="atLeast"/>
          <w:jc w:val="center"/>
        </w:trPr>
        <w:tc>
          <w:tcPr>
            <w:tcW w:w="3240" w:type="dxa"/>
          </w:tcPr>
          <w:p w14:paraId="4ACC2568">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点突变及载体构建</w:t>
            </w:r>
          </w:p>
        </w:tc>
        <w:tc>
          <w:tcPr>
            <w:tcW w:w="1330" w:type="dxa"/>
          </w:tcPr>
          <w:p w14:paraId="5666549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58E52681">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68" w:type="dxa"/>
          </w:tcPr>
          <w:p w14:paraId="1C4C333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0B9AAC18">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0B9F7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jc w:val="center"/>
        </w:trPr>
        <w:tc>
          <w:tcPr>
            <w:tcW w:w="3240" w:type="dxa"/>
          </w:tcPr>
          <w:p w14:paraId="5B73EEF5">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分子诊断PCR类</w:t>
            </w:r>
          </w:p>
        </w:tc>
        <w:tc>
          <w:tcPr>
            <w:tcW w:w="1330" w:type="dxa"/>
          </w:tcPr>
          <w:p w14:paraId="76BACE5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304AF5F0">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68" w:type="dxa"/>
          </w:tcPr>
          <w:p w14:paraId="5340D34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423D65F6">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4C99D1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3240" w:type="dxa"/>
          </w:tcPr>
          <w:p w14:paraId="7EA7D82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飞行质谱引物</w:t>
            </w:r>
          </w:p>
        </w:tc>
        <w:tc>
          <w:tcPr>
            <w:tcW w:w="1330" w:type="dxa"/>
          </w:tcPr>
          <w:p w14:paraId="6F0E1FC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13471BDE">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68" w:type="dxa"/>
          </w:tcPr>
          <w:p w14:paraId="73C9F9C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041F406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r>
      <w:tr w14:paraId="6354A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6" w:hRule="atLeast"/>
          <w:jc w:val="center"/>
        </w:trPr>
        <w:tc>
          <w:tcPr>
            <w:tcW w:w="3240" w:type="dxa"/>
          </w:tcPr>
          <w:p w14:paraId="5DA0E17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NGS接头</w:t>
            </w:r>
          </w:p>
        </w:tc>
        <w:tc>
          <w:tcPr>
            <w:tcW w:w="1330" w:type="dxa"/>
          </w:tcPr>
          <w:p w14:paraId="173024B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25" w:type="dxa"/>
          </w:tcPr>
          <w:p w14:paraId="0E71E9A7">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68" w:type="dxa"/>
          </w:tcPr>
          <w:p w14:paraId="54F9DF73">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52A9037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41C2B5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4" w:hRule="atLeast"/>
          <w:jc w:val="center"/>
        </w:trPr>
        <w:tc>
          <w:tcPr>
            <w:tcW w:w="3240" w:type="dxa"/>
          </w:tcPr>
          <w:p w14:paraId="29D1E7A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NGS捕获探针</w:t>
            </w:r>
          </w:p>
        </w:tc>
        <w:tc>
          <w:tcPr>
            <w:tcW w:w="1330" w:type="dxa"/>
          </w:tcPr>
          <w:p w14:paraId="28D568E7">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25" w:type="dxa"/>
          </w:tcPr>
          <w:p w14:paraId="6DCB008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764C839F">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p>
        </w:tc>
        <w:tc>
          <w:tcPr>
            <w:tcW w:w="1436" w:type="dxa"/>
          </w:tcPr>
          <w:p w14:paraId="4F16A6CB">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r w14:paraId="4128C6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jc w:val="center"/>
        </w:trPr>
        <w:tc>
          <w:tcPr>
            <w:tcW w:w="3240" w:type="dxa"/>
          </w:tcPr>
          <w:p w14:paraId="723CE79C">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扩增子及引物池</w:t>
            </w:r>
          </w:p>
        </w:tc>
        <w:tc>
          <w:tcPr>
            <w:tcW w:w="1330" w:type="dxa"/>
          </w:tcPr>
          <w:p w14:paraId="16741A34">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25" w:type="dxa"/>
          </w:tcPr>
          <w:p w14:paraId="68DE34B2">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68" w:type="dxa"/>
          </w:tcPr>
          <w:p w14:paraId="106D0E78">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c>
          <w:tcPr>
            <w:tcW w:w="1436" w:type="dxa"/>
          </w:tcPr>
          <w:p w14:paraId="48FC2D8D">
            <w:pPr>
              <w:keepNext w:val="0"/>
              <w:keepLines w:val="0"/>
              <w:pageBreakBefore w:val="0"/>
              <w:widowControl w:val="0"/>
              <w:kinsoku/>
              <w:wordWrap/>
              <w:overflowPunct/>
              <w:topLinePunct w:val="0"/>
              <w:autoSpaceDE/>
              <w:autoSpaceDN/>
              <w:bidi w:val="0"/>
              <w:adjustRightInd/>
              <w:snapToGrid/>
              <w:jc w:val="center"/>
              <w:textAlignment w:val="auto"/>
              <w:rPr>
                <w:rFonts w:hint="eastAsia" w:ascii="宋体" w:hAnsi="宋体" w:eastAsia="宋体" w:cs="宋体"/>
              </w:rPr>
            </w:pPr>
            <w:r>
              <w:rPr>
                <w:rFonts w:hint="eastAsia" w:ascii="宋体" w:hAnsi="宋体" w:eastAsia="宋体" w:cs="宋体"/>
              </w:rPr>
              <w:t>√</w:t>
            </w:r>
          </w:p>
        </w:tc>
      </w:tr>
    </w:tbl>
    <w:p w14:paraId="56CD2D65">
      <w:pPr>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rPr>
      </w:pPr>
      <w:r>
        <w:rPr>
          <w:rFonts w:hint="eastAsia" w:ascii="黑体" w:hAnsi="黑体" w:eastAsia="黑体" w:cs="黑体"/>
        </w:rPr>
        <w:t>G.1  DSL纯化</w:t>
      </w:r>
    </w:p>
    <w:p w14:paraId="1154F032">
      <w:pPr>
        <w:bidi w:val="0"/>
        <w:ind w:firstLine="420" w:firstLineChars="200"/>
      </w:pPr>
      <w:r>
        <w:t>DSL纯化，又称为脱盐纯化或简易反相柱纯化，是通过高纯氨气水蒸汽混合物的气相氨解环境，将连接在CPG（Controlled Pore Glass，控制孔径玻璃）上的引物切割洗脱下来，同时有效地去除盐分。DSL纯化适用于大多数分子生物学实验需求</w:t>
      </w:r>
      <w:r>
        <w:rPr>
          <w:rFonts w:hint="eastAsia"/>
        </w:rPr>
        <w:t>，</w:t>
      </w:r>
      <w:r>
        <w:t>它常用于PCR扩增、亚克隆、点突变、全基因合成及Sanger测序等实验。DSL纯化的速度较快，价格相对优惠，通量大。然而，它不能有效去除比目的片段略短的引物小片段，因此在合成效果很好时才能选用此法。</w:t>
      </w:r>
    </w:p>
    <w:p w14:paraId="302D209B">
      <w:pPr>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rPr>
      </w:pPr>
      <w:r>
        <w:rPr>
          <w:rFonts w:hint="eastAsia" w:ascii="黑体" w:hAnsi="黑体" w:eastAsia="黑体" w:cs="黑体"/>
        </w:rPr>
        <w:t>G.2  OPC纯化</w:t>
      </w:r>
    </w:p>
    <w:p w14:paraId="37E0C807">
      <w:pPr>
        <w:bidi w:val="0"/>
        <w:ind w:firstLine="420" w:firstLineChars="200"/>
        <w:rPr>
          <w:lang w:val="en-US" w:eastAsia="zh-CN"/>
        </w:rPr>
      </w:pPr>
      <w:r>
        <w:rPr>
          <w:lang w:val="en-US" w:eastAsia="zh-CN"/>
        </w:rPr>
        <w:t>OPC纯化，全称为Oligonucleotide Purification Cartridge（寡核苷酸纯化柱）纯化，其原理是基于DNA保护基（DMTr基）和Cartridge柱中树脂间的亲合力作用。</w:t>
      </w:r>
      <w:r>
        <w:rPr>
          <w:rFonts w:hint="eastAsia"/>
          <w:lang w:val="en-US" w:eastAsia="zh-CN"/>
        </w:rPr>
        <w:t>在洗脱过程中</w:t>
      </w:r>
      <w:r>
        <w:rPr>
          <w:lang w:val="en-US" w:eastAsia="zh-CN"/>
        </w:rPr>
        <w:t>吸附带有DMT的片段并洗脱不带DMT的片段。OPC纯化适用于40mer以下引物的纯化。OPC纯化的DNA纯度通常大于95%，具有较高的纯化效率。需要注意的是，OPC法纯化的专一性吸附DMT能力有限，仍然有短片段带入的可能，且负载量相对较小。</w:t>
      </w:r>
    </w:p>
    <w:p w14:paraId="670EE9EF">
      <w:pPr>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rPr>
      </w:pPr>
      <w:r>
        <w:rPr>
          <w:rFonts w:hint="eastAsia" w:ascii="黑体" w:hAnsi="黑体" w:eastAsia="黑体" w:cs="黑体"/>
        </w:rPr>
        <w:t>G.3  PAGE纯化</w:t>
      </w:r>
    </w:p>
    <w:p w14:paraId="667254B3">
      <w:pPr>
        <w:bidi w:val="0"/>
        <w:ind w:firstLine="420" w:firstLineChars="200"/>
        <w:rPr>
          <w:lang w:val="en-US" w:eastAsia="zh-CN"/>
        </w:rPr>
      </w:pPr>
      <w:r>
        <w:rPr>
          <w:lang w:val="en-US" w:eastAsia="zh-CN"/>
        </w:rPr>
        <w:t>PAGE纯化法是使用变性聚丙烯酰胺凝胶电泳，对DNA片段进行分离，然后从凝胶中回收目的DNA的方法。PAGE纯化法也是一种非常有效的DNA纯化方法，纯化后的DNA纯度大于95%，对长链Oligo DNA（大于50</w:t>
      </w:r>
      <w:r>
        <w:rPr>
          <w:rFonts w:hint="eastAsia"/>
          <w:lang w:val="en-US" w:eastAsia="zh-CN"/>
        </w:rPr>
        <w:t xml:space="preserve"> </w:t>
      </w:r>
      <w:r>
        <w:rPr>
          <w:lang w:val="en-US" w:eastAsia="zh-CN"/>
        </w:rPr>
        <w:t>mer）的纯化特别有效。</w:t>
      </w:r>
    </w:p>
    <w:p w14:paraId="1C05A66C">
      <w:pPr>
        <w:keepNext w:val="0"/>
        <w:keepLines w:val="0"/>
        <w:pageBreakBefore w:val="0"/>
        <w:widowControl w:val="0"/>
        <w:kinsoku/>
        <w:wordWrap/>
        <w:overflowPunct/>
        <w:topLinePunct w:val="0"/>
        <w:autoSpaceDE/>
        <w:autoSpaceDN/>
        <w:bidi w:val="0"/>
        <w:adjustRightInd/>
        <w:snapToGrid/>
        <w:spacing w:before="157" w:beforeLines="50" w:after="157" w:afterLines="50"/>
        <w:textAlignment w:val="auto"/>
        <w:rPr>
          <w:rFonts w:hint="eastAsia" w:ascii="黑体" w:hAnsi="黑体" w:eastAsia="黑体" w:cs="黑体"/>
        </w:rPr>
      </w:pPr>
      <w:r>
        <w:rPr>
          <w:rFonts w:hint="eastAsia" w:ascii="黑体" w:hAnsi="黑体" w:eastAsia="黑体" w:cs="黑体"/>
        </w:rPr>
        <w:t>G.4  HPLC纯化</w:t>
      </w:r>
    </w:p>
    <w:p w14:paraId="055D4C84">
      <w:pPr>
        <w:pStyle w:val="23"/>
        <w:keepNext w:val="0"/>
        <w:keepLines w:val="0"/>
        <w:pageBreakBefore w:val="0"/>
        <w:widowControl/>
        <w:kinsoku/>
        <w:wordWrap/>
        <w:overflowPunct/>
        <w:topLinePunct w:val="0"/>
        <w:autoSpaceDE w:val="0"/>
        <w:autoSpaceDN w:val="0"/>
        <w:bidi w:val="0"/>
        <w:adjustRightInd/>
        <w:snapToGrid/>
        <w:textAlignment w:val="auto"/>
        <w:rPr>
          <w:rFonts w:ascii="Times New Roman"/>
          <w:szCs w:val="21"/>
        </w:rPr>
      </w:pPr>
      <w:r>
        <w:rPr>
          <w:rFonts w:ascii="Times New Roman"/>
        </w:rPr>
        <w:t>HPLC纯化是使用高效液相色谱的原理，对DNA片段进行纯化。纯度可以大于99%。主要用于短链和修饰引物的纯化。该法的弱点是成本较高，批量生产效率不</w:t>
      </w:r>
      <w:r>
        <w:rPr>
          <w:rFonts w:ascii="Times New Roman"/>
          <w:szCs w:val="21"/>
        </w:rPr>
        <w:t>高。</w:t>
      </w:r>
    </w:p>
    <w:p w14:paraId="4EEC41D9">
      <w:pPr>
        <w:rPr>
          <w:szCs w:val="21"/>
        </w:rPr>
      </w:pPr>
      <w:r>
        <w:rPr>
          <w:szCs w:val="21"/>
        </w:rPr>
        <w:br w:type="page"/>
      </w:r>
    </w:p>
    <w:p w14:paraId="31A1D6BB">
      <w:pPr>
        <w:pStyle w:val="114"/>
        <w:rPr>
          <w:sz w:val="21"/>
          <w:szCs w:val="21"/>
        </w:rPr>
      </w:pPr>
      <w:r>
        <w:rPr>
          <w:rFonts w:hint="eastAsia"/>
          <w:sz w:val="21"/>
          <w:szCs w:val="21"/>
        </w:rPr>
        <w:t>参考文献</w:t>
      </w:r>
    </w:p>
    <w:p w14:paraId="476D0E73">
      <w:pPr>
        <w:pStyle w:val="30"/>
        <w:rPr>
          <w:rFonts w:hint="eastAsia" w:ascii="宋体" w:hAnsi="宋体" w:cs="宋体"/>
          <w:lang w:val="en-US"/>
        </w:rPr>
      </w:pPr>
      <w:r>
        <w:rPr>
          <w:rFonts w:hint="eastAsia" w:ascii="宋体" w:hAnsi="宋体" w:cs="宋体"/>
          <w:lang w:val="en-US"/>
        </w:rPr>
        <w:t>[1] GB/T 43629.1-2023</w:t>
      </w:r>
      <w:r>
        <w:rPr>
          <w:rFonts w:hint="eastAsia" w:ascii="宋体" w:hAnsi="宋体" w:cs="宋体"/>
        </w:rPr>
        <w:t xml:space="preserve"> </w:t>
      </w:r>
      <w:r>
        <w:rPr>
          <w:rFonts w:hint="eastAsia" w:ascii="宋体" w:hAnsi="宋体" w:cs="宋体"/>
          <w:lang w:val="en-US"/>
        </w:rPr>
        <w:t>生物技术 核酸合成 第1部分：合成寡核苷酸的生产和质量控制要求</w:t>
      </w:r>
    </w:p>
    <w:p w14:paraId="01F21FE7">
      <w:pPr>
        <w:pStyle w:val="30"/>
        <w:rPr>
          <w:rFonts w:hint="eastAsia" w:ascii="宋体" w:hAnsi="宋体" w:cs="宋体"/>
        </w:rPr>
      </w:pPr>
      <w:r>
        <w:rPr>
          <w:rFonts w:hint="eastAsia" w:ascii="宋体" w:hAnsi="宋体" w:cs="宋体"/>
          <w:lang w:val="en-US"/>
        </w:rPr>
        <w:t xml:space="preserve">[2] </w:t>
      </w:r>
      <w:r>
        <w:rPr>
          <w:rFonts w:hint="eastAsia" w:ascii="宋体" w:hAnsi="宋体" w:cs="宋体"/>
        </w:rPr>
        <w:t>GB/T 35537-2017 高通量基因测序结果评价要求</w:t>
      </w:r>
    </w:p>
    <w:p w14:paraId="26E9E358">
      <w:pPr>
        <w:pStyle w:val="30"/>
        <w:rPr>
          <w:rFonts w:hint="eastAsia" w:ascii="宋体" w:hAnsi="宋体" w:cs="宋体"/>
        </w:rPr>
      </w:pPr>
      <w:r>
        <w:rPr>
          <w:rFonts w:hint="eastAsia" w:ascii="宋体" w:hAnsi="宋体" w:cs="宋体"/>
          <w:lang w:val="en-US"/>
        </w:rPr>
        <w:t xml:space="preserve">[3] </w:t>
      </w:r>
      <w:r>
        <w:rPr>
          <w:rFonts w:hint="eastAsia" w:ascii="宋体" w:hAnsi="宋体" w:cs="宋体"/>
        </w:rPr>
        <w:t>GB/T 34794-2017 琼脂糖凝胶回收试剂盒测定通则</w:t>
      </w:r>
    </w:p>
    <w:p w14:paraId="3BB597D6">
      <w:pPr>
        <w:pStyle w:val="30"/>
        <w:rPr>
          <w:rFonts w:hint="eastAsia" w:ascii="宋体" w:hAnsi="宋体" w:cs="宋体"/>
          <w:lang w:val="en-US"/>
        </w:rPr>
      </w:pPr>
      <w:r>
        <w:rPr>
          <w:rFonts w:hint="eastAsia" w:ascii="宋体" w:hAnsi="宋体" w:cs="宋体"/>
          <w:lang w:val="en-US"/>
        </w:rPr>
        <w:t>[4] GB/T 34797-2017 核酸引物探针质量技术要求</w:t>
      </w:r>
    </w:p>
    <w:p w14:paraId="53223CB4">
      <w:pPr>
        <w:pStyle w:val="30"/>
        <w:rPr>
          <w:rFonts w:hint="eastAsia" w:ascii="宋体" w:hAnsi="宋体" w:cs="宋体"/>
          <w:lang w:val="en-US"/>
        </w:rPr>
      </w:pPr>
      <w:r>
        <w:rPr>
          <w:rFonts w:hint="eastAsia" w:ascii="宋体" w:hAnsi="宋体" w:cs="宋体"/>
          <w:lang w:val="en-US"/>
        </w:rPr>
        <w:t>[5] GB/T 30988-2014多酚类植物基因组DNA提取纯化及测试方法</w:t>
      </w:r>
    </w:p>
    <w:p w14:paraId="68527638">
      <w:pPr>
        <w:pStyle w:val="30"/>
        <w:rPr>
          <w:rFonts w:hint="eastAsia" w:ascii="宋体" w:hAnsi="宋体" w:cs="宋体"/>
          <w:lang w:val="en-US"/>
        </w:rPr>
      </w:pPr>
      <w:r>
        <w:rPr>
          <w:rFonts w:hint="eastAsia" w:ascii="宋体" w:hAnsi="宋体" w:cs="宋体"/>
          <w:lang w:val="en-US"/>
        </w:rPr>
        <w:t>[6] GB/T 40171-2021 磁珠法DNA提取纯化试剂盒检测通则</w:t>
      </w:r>
    </w:p>
    <w:p w14:paraId="229F10EB">
      <w:pPr>
        <w:pStyle w:val="30"/>
        <w:rPr>
          <w:rFonts w:hint="eastAsia" w:ascii="宋体" w:hAnsi="宋体" w:cs="宋体"/>
          <w:lang w:val="en-US"/>
        </w:rPr>
      </w:pPr>
      <w:r>
        <w:rPr>
          <w:rFonts w:hint="eastAsia" w:ascii="宋体" w:hAnsi="宋体" w:cs="宋体"/>
          <w:lang w:val="en-US"/>
        </w:rPr>
        <w:t>[7] DB44/T 1926-2016 合成基因</w:t>
      </w:r>
      <w:r>
        <w:rPr>
          <w:rFonts w:hint="eastAsia" w:ascii="宋体" w:hAnsi="宋体" w:cs="宋体"/>
          <w:lang w:val="en-US" w:eastAsia="zh-CN"/>
        </w:rPr>
        <w:t xml:space="preserve"> </w:t>
      </w:r>
      <w:r>
        <w:rPr>
          <w:rFonts w:hint="eastAsia" w:ascii="宋体" w:hAnsi="宋体" w:cs="宋体"/>
          <w:lang w:val="en-US"/>
        </w:rPr>
        <w:t>质量要求</w:t>
      </w:r>
    </w:p>
    <w:p w14:paraId="5E44069F">
      <w:pPr>
        <w:pStyle w:val="30"/>
        <w:rPr>
          <w:rFonts w:hint="eastAsia" w:ascii="宋体" w:hAnsi="宋体" w:cs="宋体"/>
          <w:lang w:val="en-US"/>
        </w:rPr>
      </w:pPr>
      <w:r>
        <w:rPr>
          <w:rFonts w:hint="eastAsia" w:ascii="宋体" w:hAnsi="宋体" w:cs="宋体"/>
          <w:lang w:val="en-US"/>
        </w:rPr>
        <w:t>[8] GA/T 1693-2020 法庭科学　DNA二代测序检验规范</w:t>
      </w:r>
    </w:p>
    <w:p w14:paraId="219624C6">
      <w:pPr>
        <w:pStyle w:val="30"/>
        <w:jc w:val="left"/>
        <w:rPr>
          <w:rFonts w:hint="eastAsia" w:ascii="宋体" w:hAnsi="宋体" w:cs="宋体"/>
          <w:lang w:val="en-US"/>
        </w:rPr>
      </w:pPr>
      <w:r>
        <w:rPr>
          <w:rFonts w:hint="eastAsia" w:ascii="宋体" w:hAnsi="宋体" w:cs="宋体"/>
          <w:lang w:val="en-US"/>
        </w:rPr>
        <w:t>[9] 崔凯,吴伟伟,刁其玉.转录组测序技术的研究和应用进展[J].生物技术通报,2019,35(07):1-9.</w:t>
      </w:r>
    </w:p>
    <w:p w14:paraId="2B8154B1">
      <w:pPr>
        <w:pStyle w:val="30"/>
        <w:jc w:val="left"/>
        <w:rPr>
          <w:rFonts w:hint="eastAsia" w:ascii="宋体" w:hAnsi="宋体" w:cs="宋体"/>
          <w:lang w:val="en-US"/>
        </w:rPr>
      </w:pPr>
      <w:r>
        <w:rPr>
          <w:rFonts w:hint="eastAsia" w:ascii="宋体" w:hAnsi="宋体" w:cs="宋体"/>
          <w:lang w:val="en-US"/>
        </w:rPr>
        <w:t>[10] 李金明.高通量测序技术[M].北京:科学出版社,2018.</w:t>
      </w:r>
    </w:p>
    <w:p w14:paraId="763DA401">
      <w:pPr>
        <w:pStyle w:val="30"/>
        <w:jc w:val="left"/>
        <w:rPr>
          <w:rFonts w:ascii="Times New Roman" w:hAnsi="Times New Roman" w:cs="宋体"/>
          <w:lang w:val="en-US"/>
        </w:rPr>
      </w:pPr>
      <w:r>
        <w:rPr>
          <w:rFonts w:hint="eastAsia" w:ascii="宋体" w:hAnsi="宋体" w:cs="宋体"/>
          <w:lang w:val="en-US"/>
        </w:rPr>
        <w:t xml:space="preserve">[11] </w:t>
      </w:r>
      <w:r>
        <w:rPr>
          <w:rFonts w:ascii="Times New Roman" w:hAnsi="Times New Roman" w:cs="宋体"/>
          <w:lang w:val="en-US"/>
        </w:rPr>
        <w:t>Caswell J,Gray D,Dourado DFAR.Towards the enzymatic synthesis of oligonucleotides:part</w:t>
      </w:r>
    </w:p>
    <w:p w14:paraId="5F79FD80">
      <w:pPr>
        <w:pStyle w:val="30"/>
        <w:jc w:val="left"/>
        <w:rPr>
          <w:rFonts w:ascii="Times New Roman" w:hAnsi="Times New Roman" w:cs="宋体"/>
          <w:lang w:val="en-US"/>
        </w:rPr>
      </w:pPr>
      <w:r>
        <w:rPr>
          <w:rFonts w:hint="eastAsia" w:ascii="宋体" w:hAnsi="宋体" w:cs="宋体"/>
          <w:lang w:val="en-US"/>
        </w:rPr>
        <w:t xml:space="preserve">[12] </w:t>
      </w:r>
      <w:r>
        <w:rPr>
          <w:rFonts w:ascii="Times New Roman" w:hAnsi="Times New Roman" w:cs="宋体"/>
          <w:lang w:val="en-US"/>
        </w:rPr>
        <w:t>Manufacturing Chemist: Pharmaceutical Development, Formulation, Processing and Outsourcing, 2022(6):</w:t>
      </w:r>
    </w:p>
    <w:p w14:paraId="7F0541D2">
      <w:pPr>
        <w:pStyle w:val="30"/>
        <w:jc w:val="left"/>
        <w:rPr>
          <w:rFonts w:ascii="Times New Roman" w:hAnsi="Times New Roman" w:cs="宋体"/>
          <w:lang w:val="en-US"/>
        </w:rPr>
      </w:pPr>
    </w:p>
    <w:p w14:paraId="5CF9E9E5">
      <w:pPr>
        <w:pStyle w:val="30"/>
        <w:jc w:val="left"/>
        <w:rPr>
          <w:rFonts w:hint="eastAsia" w:ascii="宋体" w:hAnsi="宋体" w:cs="宋体"/>
          <w:lang w:val="en-US"/>
        </w:rPr>
      </w:pPr>
      <w:r>
        <w:rPr>
          <w:rFonts w:hint="eastAsia" w:ascii="宋体" w:hAnsi="宋体" w:cs="宋体"/>
          <w:lang w:val="en-US"/>
        </w:rPr>
        <mc:AlternateContent>
          <mc:Choice Requires="wps">
            <w:drawing>
              <wp:anchor distT="0" distB="0" distL="114300" distR="114300" simplePos="0" relativeHeight="251666432" behindDoc="0" locked="0" layoutInCell="1" allowOverlap="1">
                <wp:simplePos x="0" y="0"/>
                <wp:positionH relativeFrom="column">
                  <wp:posOffset>1548765</wp:posOffset>
                </wp:positionH>
                <wp:positionV relativeFrom="paragraph">
                  <wp:posOffset>136525</wp:posOffset>
                </wp:positionV>
                <wp:extent cx="2346325" cy="43180"/>
                <wp:effectExtent l="0" t="0" r="34925" b="33655"/>
                <wp:wrapNone/>
                <wp:docPr id="528847081" name="直接连接符 7"/>
                <wp:cNvGraphicFramePr/>
                <a:graphic xmlns:a="http://schemas.openxmlformats.org/drawingml/2006/main">
                  <a:graphicData uri="http://schemas.microsoft.com/office/word/2010/wordprocessingShape">
                    <wps:wsp>
                      <wps:cNvCnPr/>
                      <wps:spPr>
                        <a:xfrm>
                          <a:off x="0" y="0"/>
                          <a:ext cx="2346385" cy="4313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接连接符 7" o:spid="_x0000_s1026" o:spt="20" style="position:absolute;left:0pt;margin-left:121.95pt;margin-top:10.75pt;height:3.4pt;width:184.75pt;z-index:251666432;mso-width-relative:page;mso-height-relative:page;" filled="f" stroked="t" coordsize="21600,21600" o:gfxdata="UEsDBAoAAAAAAIdO4kAAAAAAAAAAAAAAAAAEAAAAZHJzL1BLAwQUAAAACACHTuJAmqN6ndcAAAAJ&#10;AQAADwAAAGRycy9kb3ducmV2LnhtbE2Pu07DQBBFeyT+YTVINBFZP0IUjNcpAHc0BBDtxDvYFt5Z&#10;x7t5wNczVKGbx9GdM+X65AZ1oCn0ng2k8wQUceNtz62Bt9f6ZgUqRGSLg2cy8E0B1tXlRYmF9Ud+&#10;ocMmtkpCOBRooItxLLQOTUcOw9yPxLL79JPDKO3UajvhUcLdoLMkWWqHPcuFDkd66Kj52uydgVC/&#10;067+mTWz5CNvPWW7x+cnNOb6Kk3uQUU6xTMMf/qiDpU4bf2ebVCDgWyR3wkqRXoLSoBlmi9AbWWw&#10;ykFXpf7/QfULUEsDBBQAAAAIAIdO4kDgzZck4wEAAKYDAAAOAAAAZHJzL2Uyb0RvYy54bWytU02O&#10;0zAU3iNxB8t7mjRtZ0LUdBZTDRsElYADuI6TWPKf/DxNewkugMQOVizZc5sZjsGzEzowbGZBFs7z&#10;+/n8vs/P66ujVuQgPEhrajqf5ZQIw20jTVfTD+9vXpSUQGCmYcoaUdOTAHq1ef5sPbhKFLa3qhGe&#10;IIiBanA17UNwVZYB74VmMLNOGAy21msWcOu7rPFsQHStsiLPL7LB+sZ5ywUAerdjkE6I/imAtm0l&#10;F1vLb7UwYUT1QrGAlKCXDugmddu2goe3bQsiEFVTZBrSioegvY9rtlmzqvPM9ZJPLbCntPCIk2bS&#10;4KFnqC0LjNx6+Q+UltxbsG2YcauzkUhSBFnM80favOuZE4kLSg3uLDr8P1j+5rDzRDY1XRVlubzM&#10;yzklhmm8+PtP3+8+fvn54zOu99++ksso1uCgwpprs/PTDtzOR+bH1uv4R07kmAQ+nQUWx0A4OovF&#10;8mJRrijhGFsu5osiYmYPxc5DeCWsJtGoqZIm8mcVO7yGMKb+ToluY2+kUuhnlTJkqOnLVRHRGc5l&#10;i/OApnbIDUxHCVMdDjwPPiGCVbKJ1bEYfLe/Vp4cWByT9E2N/ZUWj94y6Me8FJrSlEEaUZtRjWjt&#10;bXNKIiU/Xl8iOo1anI8/96n64Xltf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ao3qd1wAAAAkB&#10;AAAPAAAAAAAAAAEAIAAAACIAAABkcnMvZG93bnJldi54bWxQSwECFAAUAAAACACHTuJA4M2XJOMB&#10;AACmAwAADgAAAAAAAAABACAAAAAmAQAAZHJzL2Uyb0RvYy54bWxQSwUGAAAAAAYABgBZAQAAewUA&#10;AAAA&#10;">
                <v:fill on="f" focussize="0,0"/>
                <v:stroke color="#000000 [3213]" joinstyle="round"/>
                <v:imagedata o:title=""/>
                <o:lock v:ext="edit" aspectratio="f"/>
              </v:line>
            </w:pict>
          </mc:Fallback>
        </mc:AlternateContent>
      </w:r>
    </w:p>
    <w:sectPr>
      <w:pgSz w:w="11906" w:h="16838"/>
      <w:pgMar w:top="567" w:right="1134" w:bottom="1134" w:left="1418" w:header="1418" w:footer="1134" w:gutter="0"/>
      <w:pgNumType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幼圆">
    <w:panose1 w:val="02010509060101010101"/>
    <w:charset w:val="86"/>
    <w:family w:val="auto"/>
    <w:pitch w:val="default"/>
    <w:sig w:usb0="00000001" w:usb1="080E0000" w:usb2="00000000" w:usb3="00000000" w:csb0="00040000" w:csb1="00000000"/>
  </w:font>
  <w:font w:name="方正行楷简体">
    <w:panose1 w:val="02010601030101010101"/>
    <w:charset w:val="86"/>
    <w:family w:val="auto"/>
    <w:pitch w:val="default"/>
    <w:sig w:usb0="00000001" w:usb1="080E0000" w:usb2="00000000" w:usb3="00000000" w:csb0="00040000" w:csb1="00000000"/>
  </w:font>
  <w:font w:name="Tw Cen MT">
    <w:panose1 w:val="020B0602020104020603"/>
    <w:charset w:val="00"/>
    <w:family w:val="auto"/>
    <w:pitch w:val="default"/>
    <w:sig w:usb0="00000003" w:usb1="00000000" w:usb2="00000000" w:usb3="00000000" w:csb0="20000003" w:csb1="00000000"/>
  </w:font>
  <w:font w:name="Tw Cen MT Condensed">
    <w:panose1 w:val="020B0606020104020203"/>
    <w:charset w:val="00"/>
    <w:family w:val="auto"/>
    <w:pitch w:val="default"/>
    <w:sig w:usb0="00000003" w:usb1="00000000" w:usb2="00000000" w:usb3="00000000" w:csb0="2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DE446">
    <w:pPr>
      <w:pStyle w:val="45"/>
    </w:pPr>
    <w:r>
      <w:fldChar w:fldCharType="begin"/>
    </w:r>
    <w:r>
      <w:instrText xml:space="preserve"> PAGE  \* MERGEFORMAT </w:instrText>
    </w:r>
    <w:r>
      <w:fldChar w:fldCharType="separate"/>
    </w:r>
    <w:r>
      <w:t>12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5B30D">
    <w:pPr>
      <w:pStyle w:val="45"/>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16171A">
                          <w:pPr>
                            <w:pStyle w:val="4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716171A">
                    <w:pPr>
                      <w:pStyle w:val="4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06ECA">
    <w:pPr>
      <w:pStyle w:val="45"/>
    </w:pPr>
    <w:r>
      <w:fldChar w:fldCharType="begin"/>
    </w:r>
    <w:r>
      <w:instrText xml:space="preserve"> PAGE  \* MERGEFORMAT </w:instrText>
    </w:r>
    <w:r>
      <w:fldChar w:fldCharType="separate"/>
    </w:r>
    <w:r>
      <w:t>12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049AA">
    <w:pPr>
      <w:pStyle w:val="18"/>
    </w:pPr>
    <w:r>
      <w:t>T/SDASTC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875A9">
    <w:pPr>
      <w:pStyle w:val="18"/>
    </w:pPr>
    <w:r>
      <w:t>T/SDASTC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952887"/>
    <w:multiLevelType w:val="multilevel"/>
    <w:tmpl w:val="0A952887"/>
    <w:lvl w:ilvl="0" w:tentative="0">
      <w:start w:val="1"/>
      <w:numFmt w:val="decimal"/>
      <w:pStyle w:val="67"/>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
    <w:nsid w:val="0F805D97"/>
    <w:multiLevelType w:val="multilevel"/>
    <w:tmpl w:val="0F805D97"/>
    <w:lvl w:ilvl="0" w:tentative="0">
      <w:start w:val="1"/>
      <w:numFmt w:val="none"/>
      <w:pStyle w:val="59"/>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
    <w:nsid w:val="1FC91163"/>
    <w:multiLevelType w:val="multilevel"/>
    <w:tmpl w:val="1FC91163"/>
    <w:lvl w:ilvl="0" w:tentative="0">
      <w:start w:val="1"/>
      <w:numFmt w:val="decimal"/>
      <w:pStyle w:val="47"/>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4"/>
      <w:suff w:val="nothing"/>
      <w:lvlText w:val="%1.%2　"/>
      <w:lvlJc w:val="left"/>
      <w:pPr>
        <w:ind w:left="852"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48"/>
      <w:suff w:val="nothing"/>
      <w:lvlText w:val="%1.%2.%3　"/>
      <w:lvlJc w:val="left"/>
      <w:pPr>
        <w:ind w:left="0" w:firstLine="0"/>
      </w:pPr>
      <w:rPr>
        <w:rFonts w:hint="eastAsia" w:ascii="黑体" w:hAnsi="Times New Roman" w:eastAsia="黑体"/>
        <w:b w:val="0"/>
        <w:i w:val="0"/>
        <w:sz w:val="21"/>
      </w:rPr>
    </w:lvl>
    <w:lvl w:ilvl="3" w:tentative="0">
      <w:start w:val="1"/>
      <w:numFmt w:val="decimal"/>
      <w:pStyle w:val="53"/>
      <w:suff w:val="nothing"/>
      <w:lvlText w:val="%1.%2.%3.%4　"/>
      <w:lvlJc w:val="left"/>
      <w:pPr>
        <w:ind w:left="0" w:firstLine="0"/>
      </w:pPr>
      <w:rPr>
        <w:rFonts w:hint="eastAsia" w:ascii="黑体" w:hAnsi="Times New Roman" w:eastAsia="黑体"/>
        <w:b w:val="0"/>
        <w:i w:val="0"/>
        <w:sz w:val="21"/>
      </w:rPr>
    </w:lvl>
    <w:lvl w:ilvl="4" w:tentative="0">
      <w:start w:val="1"/>
      <w:numFmt w:val="decimal"/>
      <w:pStyle w:val="57"/>
      <w:suff w:val="nothing"/>
      <w:lvlText w:val="%1.%2.%3.%4.%5　"/>
      <w:lvlJc w:val="left"/>
      <w:pPr>
        <w:ind w:left="0" w:firstLine="0"/>
      </w:pPr>
      <w:rPr>
        <w:rFonts w:hint="eastAsia" w:ascii="黑体" w:hAnsi="Times New Roman" w:eastAsia="黑体"/>
        <w:b w:val="0"/>
        <w:i w:val="0"/>
        <w:sz w:val="21"/>
      </w:rPr>
    </w:lvl>
    <w:lvl w:ilvl="5" w:tentative="0">
      <w:start w:val="1"/>
      <w:numFmt w:val="decimal"/>
      <w:pStyle w:val="58"/>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
    <w:nsid w:val="24B435DB"/>
    <w:multiLevelType w:val="multilevel"/>
    <w:tmpl w:val="24B435DB"/>
    <w:lvl w:ilvl="0" w:tentative="0">
      <w:start w:val="1"/>
      <w:numFmt w:val="lowerLetter"/>
      <w:pStyle w:val="123"/>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4">
    <w:nsid w:val="29707437"/>
    <w:multiLevelType w:val="multilevel"/>
    <w:tmpl w:val="29707437"/>
    <w:lvl w:ilvl="0" w:tentative="0">
      <w:start w:val="1"/>
      <w:numFmt w:val="none"/>
      <w:pStyle w:val="66"/>
      <w:suff w:val="nothing"/>
      <w:lvlText w:val="%1注："/>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2A8F7113"/>
    <w:multiLevelType w:val="multilevel"/>
    <w:tmpl w:val="2A8F7113"/>
    <w:lvl w:ilvl="0" w:tentative="0">
      <w:start w:val="1"/>
      <w:numFmt w:val="upperLetter"/>
      <w:pStyle w:val="100"/>
      <w:suff w:val="space"/>
      <w:lvlText w:val="%1"/>
      <w:lvlJc w:val="left"/>
      <w:pPr>
        <w:ind w:left="623" w:hanging="425"/>
      </w:pPr>
      <w:rPr>
        <w:rFonts w:hint="eastAsia"/>
      </w:rPr>
    </w:lvl>
    <w:lvl w:ilvl="1" w:tentative="0">
      <w:start w:val="1"/>
      <w:numFmt w:val="decimal"/>
      <w:pStyle w:val="101"/>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6">
    <w:nsid w:val="2C5917C3"/>
    <w:multiLevelType w:val="multilevel"/>
    <w:tmpl w:val="2C5917C3"/>
    <w:lvl w:ilvl="0" w:tentative="0">
      <w:start w:val="1"/>
      <w:numFmt w:val="none"/>
      <w:pStyle w:val="50"/>
      <w:suff w:val="nothing"/>
      <w:lvlText w:val="%1——"/>
      <w:lvlJc w:val="left"/>
      <w:pPr>
        <w:ind w:left="833" w:hanging="408"/>
      </w:pPr>
      <w:rPr>
        <w:rFonts w:hint="eastAsia"/>
      </w:rPr>
    </w:lvl>
    <w:lvl w:ilvl="1" w:tentative="0">
      <w:start w:val="1"/>
      <w:numFmt w:val="bullet"/>
      <w:pStyle w:val="51"/>
      <w:lvlText w:val=""/>
      <w:lvlJc w:val="left"/>
      <w:pPr>
        <w:tabs>
          <w:tab w:val="left" w:pos="760"/>
        </w:tabs>
        <w:ind w:left="1264" w:hanging="413"/>
      </w:pPr>
      <w:rPr>
        <w:rFonts w:hint="default" w:ascii="Symbol" w:hAnsi="Symbol"/>
        <w:color w:val="auto"/>
      </w:rPr>
    </w:lvl>
    <w:lvl w:ilvl="2" w:tentative="0">
      <w:start w:val="1"/>
      <w:numFmt w:val="bullet"/>
      <w:pStyle w:val="62"/>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7">
    <w:nsid w:val="3D733618"/>
    <w:multiLevelType w:val="multilevel"/>
    <w:tmpl w:val="3D733618"/>
    <w:lvl w:ilvl="0" w:tentative="0">
      <w:start w:val="1"/>
      <w:numFmt w:val="decimal"/>
      <w:pStyle w:val="24"/>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8">
    <w:nsid w:val="44C50F90"/>
    <w:multiLevelType w:val="multilevel"/>
    <w:tmpl w:val="44C50F90"/>
    <w:lvl w:ilvl="0" w:tentative="0">
      <w:start w:val="1"/>
      <w:numFmt w:val="lowerLetter"/>
      <w:pStyle w:val="61"/>
      <w:lvlText w:val="%1)"/>
      <w:lvlJc w:val="left"/>
      <w:pPr>
        <w:tabs>
          <w:tab w:val="left" w:pos="839"/>
        </w:tabs>
        <w:ind w:left="839" w:hanging="419"/>
      </w:pPr>
      <w:rPr>
        <w:rFonts w:hint="eastAsia" w:ascii="宋体" w:hAnsi="宋体" w:eastAsia="宋体"/>
        <w:b w:val="0"/>
        <w:i w:val="0"/>
        <w:sz w:val="20"/>
        <w:szCs w:val="21"/>
      </w:rPr>
    </w:lvl>
    <w:lvl w:ilvl="1" w:tentative="0">
      <w:start w:val="1"/>
      <w:numFmt w:val="decimal"/>
      <w:pStyle w:val="56"/>
      <w:lvlText w:val="%2)"/>
      <w:lvlJc w:val="left"/>
      <w:pPr>
        <w:tabs>
          <w:tab w:val="left" w:pos="1259"/>
        </w:tabs>
        <w:ind w:left="1259" w:hanging="420"/>
      </w:pPr>
      <w:rPr>
        <w:rFonts w:hint="eastAsia" w:ascii="宋体" w:hAnsi="宋体" w:eastAsia="宋体" w:cs="Times New Roman"/>
        <w:b w:val="0"/>
        <w:bCs w:val="0"/>
        <w:i w:val="0"/>
        <w:iCs w:val="0"/>
        <w:caps w:val="0"/>
        <w:strike w:val="0"/>
        <w:dstrike w:val="0"/>
        <w:vanish w:val="0"/>
        <w:color w:val="000000"/>
        <w:spacing w:val="0"/>
        <w:kern w:val="0"/>
        <w:position w:val="0"/>
        <w:sz w:val="20"/>
        <w:szCs w:val="21"/>
        <w:u w:val="none"/>
        <w:vertAlign w:val="baseline"/>
      </w:rPr>
    </w:lvl>
    <w:lvl w:ilvl="2" w:tentative="0">
      <w:start w:val="1"/>
      <w:numFmt w:val="decimal"/>
      <w:pStyle w:val="63"/>
      <w:lvlText w:val="(%3)"/>
      <w:lvlJc w:val="left"/>
      <w:pPr>
        <w:tabs>
          <w:tab w:val="left" w:pos="0"/>
        </w:tabs>
        <w:ind w:left="1678" w:hanging="419"/>
      </w:pPr>
      <w:rPr>
        <w:rFonts w:hint="eastAsia" w:ascii="宋体" w:hAnsi="宋体" w:eastAsia="宋体"/>
        <w:b w:val="0"/>
        <w:bCs w:val="0"/>
        <w:i w:val="0"/>
        <w:iCs w:val="0"/>
        <w:caps w:val="0"/>
        <w:smallCaps w:val="0"/>
        <w:strike w:val="0"/>
        <w:dstrike w:val="0"/>
        <w:vanish w:val="0"/>
        <w:color w:val="000000"/>
        <w:spacing w:val="0"/>
        <w:kern w:val="0"/>
        <w:position w:val="0"/>
        <w:sz w:val="20"/>
        <w:szCs w:val="21"/>
        <w:u w:val="none"/>
        <w:vertAlign w:val="baseline"/>
      </w:rPr>
    </w:lvl>
    <w:lvl w:ilvl="3" w:tentative="0">
      <w:start w:val="1"/>
      <w:numFmt w:val="decimal"/>
      <w:lvlText w:val="%4."/>
      <w:lvlJc w:val="left"/>
      <w:pPr>
        <w:tabs>
          <w:tab w:val="left" w:pos="2098"/>
        </w:tabs>
        <w:ind w:left="2098" w:hanging="420"/>
      </w:pPr>
      <w:rPr>
        <w:rFonts w:hint="eastAsia" w:ascii="黑体" w:hAnsi="Times New Roman" w:eastAsia="黑体"/>
        <w:b w:val="0"/>
        <w:i w:val="0"/>
        <w:sz w:val="21"/>
      </w:rPr>
    </w:lvl>
    <w:lvl w:ilvl="4" w:tentative="0">
      <w:start w:val="1"/>
      <w:numFmt w:val="lowerLetter"/>
      <w:lvlText w:val="%5)"/>
      <w:lvlJc w:val="left"/>
      <w:pPr>
        <w:tabs>
          <w:tab w:val="left" w:pos="2517"/>
        </w:tabs>
        <w:ind w:left="2517" w:hanging="419"/>
      </w:pPr>
      <w:rPr>
        <w:rFonts w:hint="eastAsia" w:ascii="黑体" w:hAnsi="Times New Roman" w:eastAsia="黑体"/>
        <w:b w:val="0"/>
        <w:i w:val="0"/>
        <w:sz w:val="21"/>
      </w:rPr>
    </w:lvl>
    <w:lvl w:ilvl="5" w:tentative="0">
      <w:start w:val="1"/>
      <w:numFmt w:val="lowerRoman"/>
      <w:lvlText w:val="%6."/>
      <w:lvlJc w:val="right"/>
      <w:pPr>
        <w:tabs>
          <w:tab w:val="left" w:pos="2942"/>
        </w:tabs>
        <w:ind w:left="2937" w:hanging="420"/>
      </w:pPr>
      <w:rPr>
        <w:rFonts w:hint="eastAsia" w:ascii="黑体" w:hAnsi="Times New Roman" w:eastAsia="黑体"/>
        <w:b w:val="0"/>
        <w:i w:val="0"/>
        <w:sz w:val="21"/>
      </w:rPr>
    </w:lvl>
    <w:lvl w:ilvl="6" w:tentative="0">
      <w:start w:val="1"/>
      <w:numFmt w:val="decimal"/>
      <w:lvlText w:val="%7."/>
      <w:lvlJc w:val="left"/>
      <w:pPr>
        <w:tabs>
          <w:tab w:val="left" w:pos="3362"/>
        </w:tabs>
        <w:ind w:left="3356" w:hanging="414"/>
      </w:pPr>
      <w:rPr>
        <w:rFonts w:hint="eastAsia" w:ascii="黑体" w:hAnsi="Times New Roman" w:eastAsia="黑体"/>
        <w:b w:val="0"/>
        <w:i w:val="0"/>
        <w:sz w:val="21"/>
      </w:rPr>
    </w:lvl>
    <w:lvl w:ilvl="7" w:tentative="0">
      <w:start w:val="1"/>
      <w:numFmt w:val="lowerLetter"/>
      <w:lvlText w:val="%8)"/>
      <w:lvlJc w:val="left"/>
      <w:pPr>
        <w:tabs>
          <w:tab w:val="left" w:pos="3781"/>
        </w:tabs>
        <w:ind w:left="3776" w:hanging="414"/>
      </w:pPr>
      <w:rPr>
        <w:rFonts w:hint="eastAsia"/>
      </w:rPr>
    </w:lvl>
    <w:lvl w:ilvl="8" w:tentative="0">
      <w:start w:val="1"/>
      <w:numFmt w:val="lowerRoman"/>
      <w:lvlText w:val="%9."/>
      <w:lvlJc w:val="right"/>
      <w:pPr>
        <w:tabs>
          <w:tab w:val="left" w:pos="4201"/>
        </w:tabs>
        <w:ind w:left="4201" w:hanging="420"/>
      </w:pPr>
      <w:rPr>
        <w:rFonts w:hint="eastAsia"/>
      </w:rPr>
    </w:lvl>
  </w:abstractNum>
  <w:abstractNum w:abstractNumId="9">
    <w:nsid w:val="520F62E9"/>
    <w:multiLevelType w:val="multilevel"/>
    <w:tmpl w:val="520F62E9"/>
    <w:lvl w:ilvl="0" w:tentative="0">
      <w:start w:val="1"/>
      <w:numFmt w:val="decimal"/>
      <w:pStyle w:val="130"/>
      <w:suff w:val="nothing"/>
      <w:lvlText w:val="图%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0">
    <w:nsid w:val="5603797C"/>
    <w:multiLevelType w:val="multilevel"/>
    <w:tmpl w:val="5603797C"/>
    <w:lvl w:ilvl="0" w:tentative="0">
      <w:start w:val="1"/>
      <w:numFmt w:val="upperLetter"/>
      <w:pStyle w:val="155"/>
      <w:suff w:val="space"/>
      <w:lvlText w:val="%1"/>
      <w:lvlJc w:val="left"/>
      <w:pPr>
        <w:ind w:left="425" w:hanging="425"/>
      </w:pPr>
      <w:rPr>
        <w:rFonts w:hint="eastAsia"/>
      </w:rPr>
    </w:lvl>
    <w:lvl w:ilvl="1" w:tentative="0">
      <w:start w:val="1"/>
      <w:numFmt w:val="decimal"/>
      <w:pStyle w:val="153"/>
      <w:suff w:val="space"/>
      <w:lvlText w:val="表%1.%2"/>
      <w:lvlJc w:val="center"/>
      <w:pPr>
        <w:ind w:left="6947" w:firstLine="0"/>
      </w:pPr>
      <w:rPr>
        <w:rFonts w:hint="eastAsia" w:ascii="黑体" w:eastAsia="黑体"/>
        <w:sz w:val="21"/>
        <w:lang w:val="en-US"/>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1">
    <w:nsid w:val="5E63562F"/>
    <w:multiLevelType w:val="multilevel"/>
    <w:tmpl w:val="5E63562F"/>
    <w:lvl w:ilvl="0" w:tentative="0">
      <w:start w:val="1"/>
      <w:numFmt w:val="decimal"/>
      <w:pStyle w:val="60"/>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2">
    <w:nsid w:val="60B55DC2"/>
    <w:multiLevelType w:val="multilevel"/>
    <w:tmpl w:val="60B55DC2"/>
    <w:lvl w:ilvl="0" w:tentative="0">
      <w:start w:val="1"/>
      <w:numFmt w:val="upperLetter"/>
      <w:pStyle w:val="88"/>
      <w:lvlText w:val="%1"/>
      <w:lvlJc w:val="left"/>
      <w:pPr>
        <w:tabs>
          <w:tab w:val="left" w:pos="0"/>
        </w:tabs>
        <w:ind w:left="0" w:hanging="425"/>
      </w:pPr>
      <w:rPr>
        <w:rFonts w:hint="eastAsia"/>
      </w:rPr>
    </w:lvl>
    <w:lvl w:ilvl="1" w:tentative="0">
      <w:start w:val="1"/>
      <w:numFmt w:val="decimal"/>
      <w:pStyle w:val="89"/>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3">
    <w:nsid w:val="63404DBE"/>
    <w:multiLevelType w:val="multilevel"/>
    <w:tmpl w:val="63404DBE"/>
    <w:lvl w:ilvl="0" w:tentative="0">
      <w:start w:val="1"/>
      <w:numFmt w:val="none"/>
      <w:pStyle w:val="54"/>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4">
    <w:nsid w:val="63AF7EBF"/>
    <w:multiLevelType w:val="multilevel"/>
    <w:tmpl w:val="63AF7EBF"/>
    <w:lvl w:ilvl="0" w:tentative="0">
      <w:start w:val="1"/>
      <w:numFmt w:val="decimal"/>
      <w:pStyle w:val="128"/>
      <w:suff w:val="nothing"/>
      <w:lvlText w:val="表%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657D3FBC"/>
    <w:multiLevelType w:val="multilevel"/>
    <w:tmpl w:val="657D3FBC"/>
    <w:lvl w:ilvl="0" w:tentative="0">
      <w:start w:val="1"/>
      <w:numFmt w:val="upperLetter"/>
      <w:pStyle w:val="86"/>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04"/>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05"/>
      <w:suff w:val="nothing"/>
      <w:lvlText w:val="%1.%2.%3　"/>
      <w:lvlJc w:val="left"/>
      <w:pPr>
        <w:ind w:left="0" w:firstLine="0"/>
      </w:pPr>
      <w:rPr>
        <w:rFonts w:hint="eastAsia" w:ascii="黑体" w:hAnsi="Times New Roman" w:eastAsia="黑体"/>
        <w:b w:val="0"/>
        <w:i w:val="0"/>
        <w:sz w:val="21"/>
      </w:rPr>
    </w:lvl>
    <w:lvl w:ilvl="3" w:tentative="0">
      <w:start w:val="1"/>
      <w:numFmt w:val="decimal"/>
      <w:pStyle w:val="90"/>
      <w:suff w:val="nothing"/>
      <w:lvlText w:val="%1.%2.%3.%4　"/>
      <w:lvlJc w:val="left"/>
      <w:pPr>
        <w:ind w:left="0" w:firstLine="0"/>
      </w:pPr>
      <w:rPr>
        <w:rFonts w:hint="eastAsia" w:ascii="黑体" w:hAnsi="Times New Roman" w:eastAsia="黑体"/>
        <w:b w:val="0"/>
        <w:i w:val="0"/>
        <w:sz w:val="21"/>
      </w:rPr>
    </w:lvl>
    <w:lvl w:ilvl="4" w:tentative="0">
      <w:start w:val="1"/>
      <w:numFmt w:val="decimal"/>
      <w:pStyle w:val="95"/>
      <w:suff w:val="nothing"/>
      <w:lvlText w:val="%1.%2.%3.%4.%5　"/>
      <w:lvlJc w:val="left"/>
      <w:pPr>
        <w:ind w:left="0" w:firstLine="0"/>
      </w:pPr>
      <w:rPr>
        <w:rFonts w:hint="eastAsia" w:ascii="黑体" w:hAnsi="Times New Roman" w:eastAsia="黑体"/>
        <w:b w:val="0"/>
        <w:i w:val="0"/>
        <w:sz w:val="21"/>
      </w:rPr>
    </w:lvl>
    <w:lvl w:ilvl="5" w:tentative="0">
      <w:start w:val="1"/>
      <w:numFmt w:val="decimal"/>
      <w:pStyle w:val="98"/>
      <w:suff w:val="nothing"/>
      <w:lvlText w:val="%1.%2.%3.%4.%5.%6　"/>
      <w:lvlJc w:val="left"/>
      <w:pPr>
        <w:ind w:left="0" w:firstLine="0"/>
      </w:pPr>
      <w:rPr>
        <w:rFonts w:hint="eastAsia" w:ascii="黑体" w:hAnsi="Times New Roman" w:eastAsia="黑体"/>
        <w:b w:val="0"/>
        <w:i w:val="0"/>
        <w:sz w:val="21"/>
      </w:rPr>
    </w:lvl>
    <w:lvl w:ilvl="6" w:tentative="0">
      <w:start w:val="1"/>
      <w:numFmt w:val="decimal"/>
      <w:pStyle w:val="102"/>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AB870ED"/>
    <w:multiLevelType w:val="multilevel"/>
    <w:tmpl w:val="6AB870ED"/>
    <w:lvl w:ilvl="0" w:tentative="0">
      <w:start w:val="1"/>
      <w:numFmt w:val="decimal"/>
      <w:pStyle w:val="64"/>
      <w:suff w:val="nothing"/>
      <w:lvlText w:val="示例%1："/>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7">
    <w:nsid w:val="6CEA2025"/>
    <w:multiLevelType w:val="multilevel"/>
    <w:tmpl w:val="6CEA2025"/>
    <w:lvl w:ilvl="0" w:tentative="0">
      <w:start w:val="1"/>
      <w:numFmt w:val="none"/>
      <w:pStyle w:val="150"/>
      <w:suff w:val="nothing"/>
      <w:lvlText w:val="%1"/>
      <w:lvlJc w:val="left"/>
      <w:pPr>
        <w:ind w:left="0" w:firstLine="0"/>
      </w:pPr>
      <w:rPr>
        <w:rFonts w:hint="eastAsia"/>
      </w:rPr>
    </w:lvl>
    <w:lvl w:ilvl="1" w:tentative="0">
      <w:start w:val="1"/>
      <w:numFmt w:val="decimal"/>
      <w:pStyle w:val="148"/>
      <w:suff w:val="nothing"/>
      <w:lvlText w:val="%1%2　"/>
      <w:lvlJc w:val="left"/>
      <w:pPr>
        <w:ind w:left="0" w:firstLine="0"/>
      </w:pPr>
      <w:rPr>
        <w:rFonts w:hint="eastAsia" w:ascii="黑体" w:eastAsia="黑体"/>
        <w:b w:val="0"/>
        <w:i w:val="0"/>
        <w:color w:val="auto"/>
        <w:sz w:val="21"/>
      </w:rPr>
    </w:lvl>
    <w:lvl w:ilvl="2" w:tentative="0">
      <w:start w:val="1"/>
      <w:numFmt w:val="decimal"/>
      <w:pStyle w:val="149"/>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144"/>
      <w:suff w:val="nothing"/>
      <w:lvlText w:val="%1%2.%3.%4　"/>
      <w:lvlJc w:val="left"/>
      <w:pPr>
        <w:ind w:left="0" w:firstLine="0"/>
      </w:pPr>
      <w:rPr>
        <w:rFonts w:hint="eastAsia" w:ascii="黑体" w:eastAsia="黑体"/>
        <w:b w:val="0"/>
        <w:i w:val="0"/>
        <w:sz w:val="21"/>
      </w:rPr>
    </w:lvl>
    <w:lvl w:ilvl="4" w:tentative="0">
      <w:start w:val="1"/>
      <w:numFmt w:val="decimal"/>
      <w:pStyle w:val="145"/>
      <w:suff w:val="nothing"/>
      <w:lvlText w:val="%1%2.%3.%4.%5　"/>
      <w:lvlJc w:val="left"/>
      <w:pPr>
        <w:ind w:left="0" w:firstLine="0"/>
      </w:pPr>
      <w:rPr>
        <w:rFonts w:hint="eastAsia" w:ascii="黑体" w:eastAsia="黑体"/>
        <w:b w:val="0"/>
        <w:i w:val="0"/>
        <w:sz w:val="21"/>
      </w:rPr>
    </w:lvl>
    <w:lvl w:ilvl="5" w:tentative="0">
      <w:start w:val="1"/>
      <w:numFmt w:val="decimal"/>
      <w:pStyle w:val="146"/>
      <w:suff w:val="nothing"/>
      <w:lvlText w:val="%1%2.%3.%4.%5.%6　"/>
      <w:lvlJc w:val="left"/>
      <w:pPr>
        <w:ind w:left="0" w:firstLine="0"/>
      </w:pPr>
      <w:rPr>
        <w:rFonts w:hint="eastAsia" w:ascii="黑体" w:eastAsia="黑体"/>
        <w:b w:val="0"/>
        <w:i w:val="0"/>
        <w:sz w:val="21"/>
      </w:rPr>
    </w:lvl>
    <w:lvl w:ilvl="6" w:tentative="0">
      <w:start w:val="1"/>
      <w:numFmt w:val="decimal"/>
      <w:pStyle w:val="147"/>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8">
    <w:nsid w:val="6D6C07CD"/>
    <w:multiLevelType w:val="multilevel"/>
    <w:tmpl w:val="6D6C07CD"/>
    <w:lvl w:ilvl="0" w:tentative="0">
      <w:start w:val="1"/>
      <w:numFmt w:val="lowerLetter"/>
      <w:pStyle w:val="107"/>
      <w:lvlText w:val="%1)"/>
      <w:lvlJc w:val="left"/>
      <w:pPr>
        <w:tabs>
          <w:tab w:val="left" w:pos="839"/>
        </w:tabs>
        <w:ind w:left="839" w:hanging="419"/>
      </w:pPr>
      <w:rPr>
        <w:rFonts w:hint="eastAsia" w:ascii="宋体" w:eastAsia="宋体"/>
        <w:b w:val="0"/>
        <w:i w:val="0"/>
        <w:sz w:val="21"/>
      </w:rPr>
    </w:lvl>
    <w:lvl w:ilvl="1" w:tentative="0">
      <w:start w:val="1"/>
      <w:numFmt w:val="decimal"/>
      <w:pStyle w:val="97"/>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num w:numId="1">
    <w:abstractNumId w:val="7"/>
  </w:num>
  <w:num w:numId="2">
    <w:abstractNumId w:val="2"/>
  </w:num>
  <w:num w:numId="3">
    <w:abstractNumId w:val="6"/>
  </w:num>
  <w:num w:numId="4">
    <w:abstractNumId w:val="13"/>
  </w:num>
  <w:num w:numId="5">
    <w:abstractNumId w:val="8"/>
  </w:num>
  <w:num w:numId="6">
    <w:abstractNumId w:val="1"/>
  </w:num>
  <w:num w:numId="7">
    <w:abstractNumId w:val="11"/>
  </w:num>
  <w:num w:numId="8">
    <w:abstractNumId w:val="16"/>
  </w:num>
  <w:num w:numId="9">
    <w:abstractNumId w:val="4"/>
  </w:num>
  <w:num w:numId="10">
    <w:abstractNumId w:val="0"/>
  </w:num>
  <w:num w:numId="11">
    <w:abstractNumId w:val="15"/>
  </w:num>
  <w:num w:numId="12">
    <w:abstractNumId w:val="12"/>
  </w:num>
  <w:num w:numId="13">
    <w:abstractNumId w:val="18"/>
  </w:num>
  <w:num w:numId="14">
    <w:abstractNumId w:val="5"/>
  </w:num>
  <w:num w:numId="15">
    <w:abstractNumId w:val="3"/>
  </w:num>
  <w:num w:numId="16">
    <w:abstractNumId w:val="14"/>
  </w:num>
  <w:num w:numId="17">
    <w:abstractNumId w:val="9"/>
  </w:num>
  <w:num w:numId="18">
    <w:abstractNumId w:val="17"/>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63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3ZjBiYTM5YzYxNDE1MjhiM2EzOWIzOGY4MmQ4N2MifQ=="/>
  </w:docVars>
  <w:rsids>
    <w:rsidRoot w:val="00035925"/>
    <w:rsid w:val="00000244"/>
    <w:rsid w:val="00000BB3"/>
    <w:rsid w:val="0000185F"/>
    <w:rsid w:val="00004B91"/>
    <w:rsid w:val="00004E32"/>
    <w:rsid w:val="0000586F"/>
    <w:rsid w:val="00013D86"/>
    <w:rsid w:val="00013E02"/>
    <w:rsid w:val="0002143C"/>
    <w:rsid w:val="00025A65"/>
    <w:rsid w:val="00026C31"/>
    <w:rsid w:val="00027280"/>
    <w:rsid w:val="000320A7"/>
    <w:rsid w:val="000325EA"/>
    <w:rsid w:val="00035925"/>
    <w:rsid w:val="00036C2C"/>
    <w:rsid w:val="00043F89"/>
    <w:rsid w:val="00045A7C"/>
    <w:rsid w:val="00055371"/>
    <w:rsid w:val="00056A24"/>
    <w:rsid w:val="00057CE5"/>
    <w:rsid w:val="000607A3"/>
    <w:rsid w:val="000657F7"/>
    <w:rsid w:val="00067CDF"/>
    <w:rsid w:val="0007031A"/>
    <w:rsid w:val="000703F8"/>
    <w:rsid w:val="000720E9"/>
    <w:rsid w:val="00074FBE"/>
    <w:rsid w:val="0007762A"/>
    <w:rsid w:val="00081F6E"/>
    <w:rsid w:val="00083A09"/>
    <w:rsid w:val="0009005E"/>
    <w:rsid w:val="000918A9"/>
    <w:rsid w:val="00092001"/>
    <w:rsid w:val="00092618"/>
    <w:rsid w:val="00092857"/>
    <w:rsid w:val="00092BD8"/>
    <w:rsid w:val="000964C7"/>
    <w:rsid w:val="000979D9"/>
    <w:rsid w:val="000A20A9"/>
    <w:rsid w:val="000A48B1"/>
    <w:rsid w:val="000B2F0E"/>
    <w:rsid w:val="000B3143"/>
    <w:rsid w:val="000B405D"/>
    <w:rsid w:val="000C08BB"/>
    <w:rsid w:val="000C2BE6"/>
    <w:rsid w:val="000C6B05"/>
    <w:rsid w:val="000C6DD6"/>
    <w:rsid w:val="000C73D4"/>
    <w:rsid w:val="000D3D4C"/>
    <w:rsid w:val="000D4F51"/>
    <w:rsid w:val="000D718B"/>
    <w:rsid w:val="000E0C46"/>
    <w:rsid w:val="000E15EE"/>
    <w:rsid w:val="000F030C"/>
    <w:rsid w:val="000F129C"/>
    <w:rsid w:val="000F174F"/>
    <w:rsid w:val="000F74B7"/>
    <w:rsid w:val="00104E29"/>
    <w:rsid w:val="001056DE"/>
    <w:rsid w:val="001124C0"/>
    <w:rsid w:val="00115D31"/>
    <w:rsid w:val="00117A25"/>
    <w:rsid w:val="00121293"/>
    <w:rsid w:val="0013175F"/>
    <w:rsid w:val="0013364D"/>
    <w:rsid w:val="001343BB"/>
    <w:rsid w:val="001475F0"/>
    <w:rsid w:val="001512B4"/>
    <w:rsid w:val="00161B82"/>
    <w:rsid w:val="001620A5"/>
    <w:rsid w:val="00164E53"/>
    <w:rsid w:val="0016699D"/>
    <w:rsid w:val="001670D9"/>
    <w:rsid w:val="00175159"/>
    <w:rsid w:val="00175AD7"/>
    <w:rsid w:val="00176208"/>
    <w:rsid w:val="0017780C"/>
    <w:rsid w:val="001813B2"/>
    <w:rsid w:val="0018211B"/>
    <w:rsid w:val="00183FE1"/>
    <w:rsid w:val="001840D3"/>
    <w:rsid w:val="00184782"/>
    <w:rsid w:val="00187A8A"/>
    <w:rsid w:val="001900F8"/>
    <w:rsid w:val="00191258"/>
    <w:rsid w:val="00192680"/>
    <w:rsid w:val="00193037"/>
    <w:rsid w:val="00193375"/>
    <w:rsid w:val="00193A2C"/>
    <w:rsid w:val="001A288E"/>
    <w:rsid w:val="001B6DC2"/>
    <w:rsid w:val="001B754B"/>
    <w:rsid w:val="001C149C"/>
    <w:rsid w:val="001C21AC"/>
    <w:rsid w:val="001C3689"/>
    <w:rsid w:val="001C47BA"/>
    <w:rsid w:val="001C59EA"/>
    <w:rsid w:val="001D406C"/>
    <w:rsid w:val="001D41EE"/>
    <w:rsid w:val="001D4BEB"/>
    <w:rsid w:val="001D71E6"/>
    <w:rsid w:val="001E0380"/>
    <w:rsid w:val="001E0B1B"/>
    <w:rsid w:val="001E13B1"/>
    <w:rsid w:val="001E2153"/>
    <w:rsid w:val="001F3A19"/>
    <w:rsid w:val="002009E4"/>
    <w:rsid w:val="00201053"/>
    <w:rsid w:val="0020251B"/>
    <w:rsid w:val="002073D3"/>
    <w:rsid w:val="00215D48"/>
    <w:rsid w:val="0021624B"/>
    <w:rsid w:val="0022185E"/>
    <w:rsid w:val="00227FED"/>
    <w:rsid w:val="0023030A"/>
    <w:rsid w:val="00230F08"/>
    <w:rsid w:val="00234467"/>
    <w:rsid w:val="00235BE6"/>
    <w:rsid w:val="00237D8D"/>
    <w:rsid w:val="00241DA2"/>
    <w:rsid w:val="00247FEE"/>
    <w:rsid w:val="00250E7D"/>
    <w:rsid w:val="002523DB"/>
    <w:rsid w:val="002527DD"/>
    <w:rsid w:val="00252DAA"/>
    <w:rsid w:val="002565D5"/>
    <w:rsid w:val="002622C0"/>
    <w:rsid w:val="002778AE"/>
    <w:rsid w:val="0028269A"/>
    <w:rsid w:val="00283590"/>
    <w:rsid w:val="00286973"/>
    <w:rsid w:val="00287674"/>
    <w:rsid w:val="002938A4"/>
    <w:rsid w:val="00294E70"/>
    <w:rsid w:val="002954B8"/>
    <w:rsid w:val="002967B2"/>
    <w:rsid w:val="00296E3E"/>
    <w:rsid w:val="002A1924"/>
    <w:rsid w:val="002A7420"/>
    <w:rsid w:val="002A7A7E"/>
    <w:rsid w:val="002B0F12"/>
    <w:rsid w:val="002B1308"/>
    <w:rsid w:val="002B4554"/>
    <w:rsid w:val="002B707C"/>
    <w:rsid w:val="002C72D8"/>
    <w:rsid w:val="002D11FA"/>
    <w:rsid w:val="002D17BC"/>
    <w:rsid w:val="002D19A4"/>
    <w:rsid w:val="002D6352"/>
    <w:rsid w:val="002E0DDF"/>
    <w:rsid w:val="002E2906"/>
    <w:rsid w:val="002E5635"/>
    <w:rsid w:val="002E64C3"/>
    <w:rsid w:val="002E6A2C"/>
    <w:rsid w:val="002F035E"/>
    <w:rsid w:val="002F0FE8"/>
    <w:rsid w:val="002F1D8C"/>
    <w:rsid w:val="002F21DA"/>
    <w:rsid w:val="002F34B8"/>
    <w:rsid w:val="00301F39"/>
    <w:rsid w:val="00303D27"/>
    <w:rsid w:val="00305BEE"/>
    <w:rsid w:val="00313962"/>
    <w:rsid w:val="003234E0"/>
    <w:rsid w:val="00325926"/>
    <w:rsid w:val="00327A8A"/>
    <w:rsid w:val="003339A3"/>
    <w:rsid w:val="003361DC"/>
    <w:rsid w:val="00336610"/>
    <w:rsid w:val="00341F5C"/>
    <w:rsid w:val="00343D23"/>
    <w:rsid w:val="00343F73"/>
    <w:rsid w:val="00345060"/>
    <w:rsid w:val="003451FB"/>
    <w:rsid w:val="00352629"/>
    <w:rsid w:val="0035323B"/>
    <w:rsid w:val="00353D19"/>
    <w:rsid w:val="0035785A"/>
    <w:rsid w:val="003609D2"/>
    <w:rsid w:val="00363F22"/>
    <w:rsid w:val="00364940"/>
    <w:rsid w:val="00375564"/>
    <w:rsid w:val="00375995"/>
    <w:rsid w:val="00376489"/>
    <w:rsid w:val="00383191"/>
    <w:rsid w:val="00386DED"/>
    <w:rsid w:val="003912E7"/>
    <w:rsid w:val="00393947"/>
    <w:rsid w:val="00395141"/>
    <w:rsid w:val="00397E8C"/>
    <w:rsid w:val="003A2275"/>
    <w:rsid w:val="003A6A4F"/>
    <w:rsid w:val="003A7088"/>
    <w:rsid w:val="003B00DF"/>
    <w:rsid w:val="003B1275"/>
    <w:rsid w:val="003B1778"/>
    <w:rsid w:val="003C11CB"/>
    <w:rsid w:val="003C3017"/>
    <w:rsid w:val="003C6A77"/>
    <w:rsid w:val="003C75F3"/>
    <w:rsid w:val="003C78A3"/>
    <w:rsid w:val="003D0C28"/>
    <w:rsid w:val="003D36AB"/>
    <w:rsid w:val="003E121B"/>
    <w:rsid w:val="003E1867"/>
    <w:rsid w:val="003E5729"/>
    <w:rsid w:val="003E724E"/>
    <w:rsid w:val="003F1D40"/>
    <w:rsid w:val="003F22BB"/>
    <w:rsid w:val="003F2A5B"/>
    <w:rsid w:val="003F4EE0"/>
    <w:rsid w:val="003F5559"/>
    <w:rsid w:val="00400473"/>
    <w:rsid w:val="00402153"/>
    <w:rsid w:val="00402E26"/>
    <w:rsid w:val="00402FC1"/>
    <w:rsid w:val="004200D9"/>
    <w:rsid w:val="00425082"/>
    <w:rsid w:val="00431DEB"/>
    <w:rsid w:val="00441A76"/>
    <w:rsid w:val="0044259D"/>
    <w:rsid w:val="004425EE"/>
    <w:rsid w:val="004439D9"/>
    <w:rsid w:val="00446B29"/>
    <w:rsid w:val="00452222"/>
    <w:rsid w:val="004524BE"/>
    <w:rsid w:val="00453F9A"/>
    <w:rsid w:val="00454CC3"/>
    <w:rsid w:val="00464903"/>
    <w:rsid w:val="00471E91"/>
    <w:rsid w:val="00474079"/>
    <w:rsid w:val="00474675"/>
    <w:rsid w:val="0047470C"/>
    <w:rsid w:val="00484C88"/>
    <w:rsid w:val="004A203E"/>
    <w:rsid w:val="004A35F9"/>
    <w:rsid w:val="004A4662"/>
    <w:rsid w:val="004A7E02"/>
    <w:rsid w:val="004B157A"/>
    <w:rsid w:val="004B24C1"/>
    <w:rsid w:val="004B3092"/>
    <w:rsid w:val="004B49B1"/>
    <w:rsid w:val="004B557C"/>
    <w:rsid w:val="004C292F"/>
    <w:rsid w:val="004C657F"/>
    <w:rsid w:val="004D306F"/>
    <w:rsid w:val="004D4B02"/>
    <w:rsid w:val="004D4F76"/>
    <w:rsid w:val="004E4B13"/>
    <w:rsid w:val="004E4B8C"/>
    <w:rsid w:val="004E5A47"/>
    <w:rsid w:val="005036E2"/>
    <w:rsid w:val="00510280"/>
    <w:rsid w:val="00513D73"/>
    <w:rsid w:val="005148B3"/>
    <w:rsid w:val="00514A43"/>
    <w:rsid w:val="00515E9C"/>
    <w:rsid w:val="005174E5"/>
    <w:rsid w:val="00520898"/>
    <w:rsid w:val="00522393"/>
    <w:rsid w:val="00522620"/>
    <w:rsid w:val="00525656"/>
    <w:rsid w:val="00525BF3"/>
    <w:rsid w:val="0053018F"/>
    <w:rsid w:val="00534C02"/>
    <w:rsid w:val="0054044C"/>
    <w:rsid w:val="0054264B"/>
    <w:rsid w:val="00543786"/>
    <w:rsid w:val="00545A49"/>
    <w:rsid w:val="005463CC"/>
    <w:rsid w:val="00546D0D"/>
    <w:rsid w:val="0055153A"/>
    <w:rsid w:val="005533D7"/>
    <w:rsid w:val="00554B63"/>
    <w:rsid w:val="00562CF6"/>
    <w:rsid w:val="0056544B"/>
    <w:rsid w:val="00567177"/>
    <w:rsid w:val="005703DE"/>
    <w:rsid w:val="005710BC"/>
    <w:rsid w:val="005724D7"/>
    <w:rsid w:val="005755F1"/>
    <w:rsid w:val="00582BBE"/>
    <w:rsid w:val="0058464E"/>
    <w:rsid w:val="0058650E"/>
    <w:rsid w:val="005A01CB"/>
    <w:rsid w:val="005A19A9"/>
    <w:rsid w:val="005A58FF"/>
    <w:rsid w:val="005A5EAF"/>
    <w:rsid w:val="005A6491"/>
    <w:rsid w:val="005A64C0"/>
    <w:rsid w:val="005B1985"/>
    <w:rsid w:val="005B3C11"/>
    <w:rsid w:val="005C1C28"/>
    <w:rsid w:val="005C43D0"/>
    <w:rsid w:val="005C6DB5"/>
    <w:rsid w:val="005D3842"/>
    <w:rsid w:val="005D42C9"/>
    <w:rsid w:val="005E19E7"/>
    <w:rsid w:val="005E2392"/>
    <w:rsid w:val="00601622"/>
    <w:rsid w:val="0061037E"/>
    <w:rsid w:val="00613FAA"/>
    <w:rsid w:val="00616C36"/>
    <w:rsid w:val="0061716C"/>
    <w:rsid w:val="006171AF"/>
    <w:rsid w:val="00617868"/>
    <w:rsid w:val="006205E9"/>
    <w:rsid w:val="006243A1"/>
    <w:rsid w:val="00626005"/>
    <w:rsid w:val="00632E56"/>
    <w:rsid w:val="0063350E"/>
    <w:rsid w:val="00635CBA"/>
    <w:rsid w:val="00636EFC"/>
    <w:rsid w:val="0064338B"/>
    <w:rsid w:val="00646542"/>
    <w:rsid w:val="006504F4"/>
    <w:rsid w:val="0065366F"/>
    <w:rsid w:val="00654BC9"/>
    <w:rsid w:val="006552FD"/>
    <w:rsid w:val="00656F0B"/>
    <w:rsid w:val="00663733"/>
    <w:rsid w:val="00663AF3"/>
    <w:rsid w:val="00666B6C"/>
    <w:rsid w:val="00677B54"/>
    <w:rsid w:val="00682682"/>
    <w:rsid w:val="00682702"/>
    <w:rsid w:val="00692368"/>
    <w:rsid w:val="00695192"/>
    <w:rsid w:val="006A2EBC"/>
    <w:rsid w:val="006A5EA0"/>
    <w:rsid w:val="006A783B"/>
    <w:rsid w:val="006A7B33"/>
    <w:rsid w:val="006B4E13"/>
    <w:rsid w:val="006B75DD"/>
    <w:rsid w:val="006C047C"/>
    <w:rsid w:val="006C3D8B"/>
    <w:rsid w:val="006C67E0"/>
    <w:rsid w:val="006C7ABA"/>
    <w:rsid w:val="006D0A13"/>
    <w:rsid w:val="006D0D60"/>
    <w:rsid w:val="006D1122"/>
    <w:rsid w:val="006D317E"/>
    <w:rsid w:val="006D3B1E"/>
    <w:rsid w:val="006D3C00"/>
    <w:rsid w:val="006E06AD"/>
    <w:rsid w:val="006E3675"/>
    <w:rsid w:val="006E4A7F"/>
    <w:rsid w:val="006E5B76"/>
    <w:rsid w:val="006F0967"/>
    <w:rsid w:val="006F2274"/>
    <w:rsid w:val="006F64A0"/>
    <w:rsid w:val="0070038F"/>
    <w:rsid w:val="007011B0"/>
    <w:rsid w:val="007027B1"/>
    <w:rsid w:val="0070286C"/>
    <w:rsid w:val="00704DF6"/>
    <w:rsid w:val="0070641D"/>
    <w:rsid w:val="0070651C"/>
    <w:rsid w:val="00706C2F"/>
    <w:rsid w:val="007132A3"/>
    <w:rsid w:val="00716421"/>
    <w:rsid w:val="00721419"/>
    <w:rsid w:val="00724EFB"/>
    <w:rsid w:val="00726575"/>
    <w:rsid w:val="00730310"/>
    <w:rsid w:val="00740A49"/>
    <w:rsid w:val="007419C3"/>
    <w:rsid w:val="00746559"/>
    <w:rsid w:val="007467A7"/>
    <w:rsid w:val="007469DD"/>
    <w:rsid w:val="0074741B"/>
    <w:rsid w:val="0074759E"/>
    <w:rsid w:val="007478EA"/>
    <w:rsid w:val="0075415C"/>
    <w:rsid w:val="00757097"/>
    <w:rsid w:val="00761E8B"/>
    <w:rsid w:val="00763502"/>
    <w:rsid w:val="007913AB"/>
    <w:rsid w:val="007914F7"/>
    <w:rsid w:val="00795C73"/>
    <w:rsid w:val="007A4809"/>
    <w:rsid w:val="007B1625"/>
    <w:rsid w:val="007B706E"/>
    <w:rsid w:val="007B71EB"/>
    <w:rsid w:val="007C0748"/>
    <w:rsid w:val="007C6205"/>
    <w:rsid w:val="007C686A"/>
    <w:rsid w:val="007C728E"/>
    <w:rsid w:val="007D0BE0"/>
    <w:rsid w:val="007D204F"/>
    <w:rsid w:val="007D2C53"/>
    <w:rsid w:val="007D3D60"/>
    <w:rsid w:val="007E1980"/>
    <w:rsid w:val="007E4B76"/>
    <w:rsid w:val="007E5043"/>
    <w:rsid w:val="007E5EA8"/>
    <w:rsid w:val="007F0CF1"/>
    <w:rsid w:val="007F12A5"/>
    <w:rsid w:val="007F2D74"/>
    <w:rsid w:val="007F3FB7"/>
    <w:rsid w:val="007F4CF1"/>
    <w:rsid w:val="007F758D"/>
    <w:rsid w:val="007F7D52"/>
    <w:rsid w:val="0080484A"/>
    <w:rsid w:val="00805589"/>
    <w:rsid w:val="008057A5"/>
    <w:rsid w:val="00805E2F"/>
    <w:rsid w:val="0080654C"/>
    <w:rsid w:val="008071C6"/>
    <w:rsid w:val="008163DF"/>
    <w:rsid w:val="00817A00"/>
    <w:rsid w:val="00820B95"/>
    <w:rsid w:val="00825891"/>
    <w:rsid w:val="00831631"/>
    <w:rsid w:val="0083228D"/>
    <w:rsid w:val="00833D07"/>
    <w:rsid w:val="00835DB3"/>
    <w:rsid w:val="0083617B"/>
    <w:rsid w:val="00836342"/>
    <w:rsid w:val="00836A2D"/>
    <w:rsid w:val="008371BD"/>
    <w:rsid w:val="00840EBF"/>
    <w:rsid w:val="008428CC"/>
    <w:rsid w:val="008504A8"/>
    <w:rsid w:val="00851B58"/>
    <w:rsid w:val="0085282E"/>
    <w:rsid w:val="0087198C"/>
    <w:rsid w:val="00872C1F"/>
    <w:rsid w:val="00873B42"/>
    <w:rsid w:val="00877CB0"/>
    <w:rsid w:val="008805AC"/>
    <w:rsid w:val="00880D1A"/>
    <w:rsid w:val="0088396D"/>
    <w:rsid w:val="00884468"/>
    <w:rsid w:val="008856D8"/>
    <w:rsid w:val="00892E82"/>
    <w:rsid w:val="00893277"/>
    <w:rsid w:val="00895FA9"/>
    <w:rsid w:val="008A1035"/>
    <w:rsid w:val="008A6E08"/>
    <w:rsid w:val="008C0BE9"/>
    <w:rsid w:val="008C1B58"/>
    <w:rsid w:val="008C39AE"/>
    <w:rsid w:val="008C40DF"/>
    <w:rsid w:val="008C590D"/>
    <w:rsid w:val="008C6465"/>
    <w:rsid w:val="008D447E"/>
    <w:rsid w:val="008D631F"/>
    <w:rsid w:val="008D7566"/>
    <w:rsid w:val="008E031B"/>
    <w:rsid w:val="008E0560"/>
    <w:rsid w:val="008E17F7"/>
    <w:rsid w:val="008E2D8C"/>
    <w:rsid w:val="008E7029"/>
    <w:rsid w:val="008E7EF6"/>
    <w:rsid w:val="008F1F98"/>
    <w:rsid w:val="008F2340"/>
    <w:rsid w:val="008F2790"/>
    <w:rsid w:val="008F6758"/>
    <w:rsid w:val="009040DD"/>
    <w:rsid w:val="00905B47"/>
    <w:rsid w:val="0090690F"/>
    <w:rsid w:val="00911391"/>
    <w:rsid w:val="0091331C"/>
    <w:rsid w:val="009137BD"/>
    <w:rsid w:val="0091503D"/>
    <w:rsid w:val="009279DE"/>
    <w:rsid w:val="00927AB9"/>
    <w:rsid w:val="00927B37"/>
    <w:rsid w:val="00930116"/>
    <w:rsid w:val="00930625"/>
    <w:rsid w:val="00941082"/>
    <w:rsid w:val="0094212C"/>
    <w:rsid w:val="00944853"/>
    <w:rsid w:val="0094609D"/>
    <w:rsid w:val="0095378C"/>
    <w:rsid w:val="00954689"/>
    <w:rsid w:val="0095472A"/>
    <w:rsid w:val="0096085A"/>
    <w:rsid w:val="009617C9"/>
    <w:rsid w:val="00961C93"/>
    <w:rsid w:val="00962B4E"/>
    <w:rsid w:val="00965324"/>
    <w:rsid w:val="0097091E"/>
    <w:rsid w:val="00973226"/>
    <w:rsid w:val="009760D3"/>
    <w:rsid w:val="00977132"/>
    <w:rsid w:val="00981A4B"/>
    <w:rsid w:val="00982250"/>
    <w:rsid w:val="00982501"/>
    <w:rsid w:val="00983D33"/>
    <w:rsid w:val="009877D3"/>
    <w:rsid w:val="00994E8F"/>
    <w:rsid w:val="009951DC"/>
    <w:rsid w:val="009959BB"/>
    <w:rsid w:val="00997158"/>
    <w:rsid w:val="009A0827"/>
    <w:rsid w:val="009A3A7C"/>
    <w:rsid w:val="009A5D33"/>
    <w:rsid w:val="009A5F99"/>
    <w:rsid w:val="009A7D84"/>
    <w:rsid w:val="009B2323"/>
    <w:rsid w:val="009B2ADB"/>
    <w:rsid w:val="009B603A"/>
    <w:rsid w:val="009C2291"/>
    <w:rsid w:val="009C2D0E"/>
    <w:rsid w:val="009C3DAC"/>
    <w:rsid w:val="009C42E0"/>
    <w:rsid w:val="009D3230"/>
    <w:rsid w:val="009D5362"/>
    <w:rsid w:val="009E1415"/>
    <w:rsid w:val="009E6116"/>
    <w:rsid w:val="009E7E25"/>
    <w:rsid w:val="00A02E43"/>
    <w:rsid w:val="00A05368"/>
    <w:rsid w:val="00A065F9"/>
    <w:rsid w:val="00A07011"/>
    <w:rsid w:val="00A07F34"/>
    <w:rsid w:val="00A22154"/>
    <w:rsid w:val="00A24058"/>
    <w:rsid w:val="00A25C38"/>
    <w:rsid w:val="00A35824"/>
    <w:rsid w:val="00A36BBE"/>
    <w:rsid w:val="00A37C20"/>
    <w:rsid w:val="00A40D9E"/>
    <w:rsid w:val="00A41DF7"/>
    <w:rsid w:val="00A420B1"/>
    <w:rsid w:val="00A42ECA"/>
    <w:rsid w:val="00A4307A"/>
    <w:rsid w:val="00A46DEF"/>
    <w:rsid w:val="00A47EBB"/>
    <w:rsid w:val="00A51CDD"/>
    <w:rsid w:val="00A563F8"/>
    <w:rsid w:val="00A56BBA"/>
    <w:rsid w:val="00A65FA9"/>
    <w:rsid w:val="00A6730D"/>
    <w:rsid w:val="00A71625"/>
    <w:rsid w:val="00A71B9B"/>
    <w:rsid w:val="00A72985"/>
    <w:rsid w:val="00A751C7"/>
    <w:rsid w:val="00A80008"/>
    <w:rsid w:val="00A84CE5"/>
    <w:rsid w:val="00A87844"/>
    <w:rsid w:val="00A9227B"/>
    <w:rsid w:val="00A97A55"/>
    <w:rsid w:val="00AA038C"/>
    <w:rsid w:val="00AA6FC6"/>
    <w:rsid w:val="00AA7A09"/>
    <w:rsid w:val="00AB3B50"/>
    <w:rsid w:val="00AC05B1"/>
    <w:rsid w:val="00AC450C"/>
    <w:rsid w:val="00AD340B"/>
    <w:rsid w:val="00AD356C"/>
    <w:rsid w:val="00AE2914"/>
    <w:rsid w:val="00AE6D15"/>
    <w:rsid w:val="00AE7023"/>
    <w:rsid w:val="00AE78AA"/>
    <w:rsid w:val="00AF0EF3"/>
    <w:rsid w:val="00AF1F49"/>
    <w:rsid w:val="00AF2D81"/>
    <w:rsid w:val="00B04182"/>
    <w:rsid w:val="00B05ECF"/>
    <w:rsid w:val="00B07AE3"/>
    <w:rsid w:val="00B11430"/>
    <w:rsid w:val="00B12A5D"/>
    <w:rsid w:val="00B242F4"/>
    <w:rsid w:val="00B2477A"/>
    <w:rsid w:val="00B24D1C"/>
    <w:rsid w:val="00B30072"/>
    <w:rsid w:val="00B30481"/>
    <w:rsid w:val="00B3312F"/>
    <w:rsid w:val="00B353EB"/>
    <w:rsid w:val="00B4016F"/>
    <w:rsid w:val="00B407AC"/>
    <w:rsid w:val="00B439C4"/>
    <w:rsid w:val="00B4465D"/>
    <w:rsid w:val="00B4535E"/>
    <w:rsid w:val="00B52A8C"/>
    <w:rsid w:val="00B54707"/>
    <w:rsid w:val="00B56155"/>
    <w:rsid w:val="00B62F11"/>
    <w:rsid w:val="00B63042"/>
    <w:rsid w:val="00B636A8"/>
    <w:rsid w:val="00B665C6"/>
    <w:rsid w:val="00B72AD8"/>
    <w:rsid w:val="00B74441"/>
    <w:rsid w:val="00B758A5"/>
    <w:rsid w:val="00B805AF"/>
    <w:rsid w:val="00B82BD5"/>
    <w:rsid w:val="00B869EC"/>
    <w:rsid w:val="00B92383"/>
    <w:rsid w:val="00B9397A"/>
    <w:rsid w:val="00B9633D"/>
    <w:rsid w:val="00B967D5"/>
    <w:rsid w:val="00BA2EBE"/>
    <w:rsid w:val="00BA3736"/>
    <w:rsid w:val="00BB0F28"/>
    <w:rsid w:val="00BB458A"/>
    <w:rsid w:val="00BB693F"/>
    <w:rsid w:val="00BB7439"/>
    <w:rsid w:val="00BB78CC"/>
    <w:rsid w:val="00BC5953"/>
    <w:rsid w:val="00BD00D3"/>
    <w:rsid w:val="00BD1659"/>
    <w:rsid w:val="00BD3AA9"/>
    <w:rsid w:val="00BD4A18"/>
    <w:rsid w:val="00BD6DB2"/>
    <w:rsid w:val="00BD73A1"/>
    <w:rsid w:val="00BE11CF"/>
    <w:rsid w:val="00BE21AB"/>
    <w:rsid w:val="00BE55CB"/>
    <w:rsid w:val="00BE7067"/>
    <w:rsid w:val="00BF3BB2"/>
    <w:rsid w:val="00BF617A"/>
    <w:rsid w:val="00C0379D"/>
    <w:rsid w:val="00C03931"/>
    <w:rsid w:val="00C05FE3"/>
    <w:rsid w:val="00C11DA9"/>
    <w:rsid w:val="00C2136D"/>
    <w:rsid w:val="00C214EE"/>
    <w:rsid w:val="00C2314B"/>
    <w:rsid w:val="00C244A0"/>
    <w:rsid w:val="00C24971"/>
    <w:rsid w:val="00C25355"/>
    <w:rsid w:val="00C26BE5"/>
    <w:rsid w:val="00C26E4D"/>
    <w:rsid w:val="00C27909"/>
    <w:rsid w:val="00C27B03"/>
    <w:rsid w:val="00C314E1"/>
    <w:rsid w:val="00C331D5"/>
    <w:rsid w:val="00C34397"/>
    <w:rsid w:val="00C40503"/>
    <w:rsid w:val="00C4095D"/>
    <w:rsid w:val="00C57A9C"/>
    <w:rsid w:val="00C601D2"/>
    <w:rsid w:val="00C65BCC"/>
    <w:rsid w:val="00C66970"/>
    <w:rsid w:val="00C71F4D"/>
    <w:rsid w:val="00C8691C"/>
    <w:rsid w:val="00C86CB4"/>
    <w:rsid w:val="00C96295"/>
    <w:rsid w:val="00C96364"/>
    <w:rsid w:val="00CA03DF"/>
    <w:rsid w:val="00CA168A"/>
    <w:rsid w:val="00CA2097"/>
    <w:rsid w:val="00CA357E"/>
    <w:rsid w:val="00CA44F9"/>
    <w:rsid w:val="00CA4A69"/>
    <w:rsid w:val="00CB722E"/>
    <w:rsid w:val="00CC3E0C"/>
    <w:rsid w:val="00CC58D3"/>
    <w:rsid w:val="00CC784D"/>
    <w:rsid w:val="00CF1E15"/>
    <w:rsid w:val="00D00A8D"/>
    <w:rsid w:val="00D03268"/>
    <w:rsid w:val="00D0337B"/>
    <w:rsid w:val="00D07777"/>
    <w:rsid w:val="00D079B2"/>
    <w:rsid w:val="00D114E9"/>
    <w:rsid w:val="00D17CD8"/>
    <w:rsid w:val="00D2527C"/>
    <w:rsid w:val="00D313B3"/>
    <w:rsid w:val="00D35B8E"/>
    <w:rsid w:val="00D40F07"/>
    <w:rsid w:val="00D429C6"/>
    <w:rsid w:val="00D47748"/>
    <w:rsid w:val="00D5178F"/>
    <w:rsid w:val="00D518DF"/>
    <w:rsid w:val="00D54CC3"/>
    <w:rsid w:val="00D6041A"/>
    <w:rsid w:val="00D61258"/>
    <w:rsid w:val="00D633EB"/>
    <w:rsid w:val="00D736AC"/>
    <w:rsid w:val="00D747AA"/>
    <w:rsid w:val="00D75A7E"/>
    <w:rsid w:val="00D82FF7"/>
    <w:rsid w:val="00D847FE"/>
    <w:rsid w:val="00D86B9C"/>
    <w:rsid w:val="00D900CD"/>
    <w:rsid w:val="00D90A39"/>
    <w:rsid w:val="00D916E4"/>
    <w:rsid w:val="00D91B49"/>
    <w:rsid w:val="00D964EA"/>
    <w:rsid w:val="00D966D0"/>
    <w:rsid w:val="00D96FE2"/>
    <w:rsid w:val="00DA0C59"/>
    <w:rsid w:val="00DA3991"/>
    <w:rsid w:val="00DA72A1"/>
    <w:rsid w:val="00DA7F95"/>
    <w:rsid w:val="00DB01F1"/>
    <w:rsid w:val="00DB3222"/>
    <w:rsid w:val="00DB7E6C"/>
    <w:rsid w:val="00DC4F68"/>
    <w:rsid w:val="00DC64B0"/>
    <w:rsid w:val="00DC6B1E"/>
    <w:rsid w:val="00DD252A"/>
    <w:rsid w:val="00DD5949"/>
    <w:rsid w:val="00DD5A29"/>
    <w:rsid w:val="00DD5D9D"/>
    <w:rsid w:val="00DE35CB"/>
    <w:rsid w:val="00DF0EF0"/>
    <w:rsid w:val="00DF21E9"/>
    <w:rsid w:val="00DF22C7"/>
    <w:rsid w:val="00DF5CC9"/>
    <w:rsid w:val="00E00F14"/>
    <w:rsid w:val="00E01CB8"/>
    <w:rsid w:val="00E06386"/>
    <w:rsid w:val="00E075C5"/>
    <w:rsid w:val="00E1051A"/>
    <w:rsid w:val="00E11668"/>
    <w:rsid w:val="00E118E7"/>
    <w:rsid w:val="00E122B7"/>
    <w:rsid w:val="00E21B55"/>
    <w:rsid w:val="00E221D3"/>
    <w:rsid w:val="00E24EB4"/>
    <w:rsid w:val="00E30635"/>
    <w:rsid w:val="00E320ED"/>
    <w:rsid w:val="00E33AFB"/>
    <w:rsid w:val="00E34218"/>
    <w:rsid w:val="00E4555B"/>
    <w:rsid w:val="00E46282"/>
    <w:rsid w:val="00E5216E"/>
    <w:rsid w:val="00E5529C"/>
    <w:rsid w:val="00E657C6"/>
    <w:rsid w:val="00E75D40"/>
    <w:rsid w:val="00E81965"/>
    <w:rsid w:val="00E82344"/>
    <w:rsid w:val="00E84C82"/>
    <w:rsid w:val="00E84D64"/>
    <w:rsid w:val="00E87408"/>
    <w:rsid w:val="00E914C4"/>
    <w:rsid w:val="00E934F5"/>
    <w:rsid w:val="00E96961"/>
    <w:rsid w:val="00EA72EC"/>
    <w:rsid w:val="00EB11CB"/>
    <w:rsid w:val="00EB1C71"/>
    <w:rsid w:val="00EB275A"/>
    <w:rsid w:val="00EB57CA"/>
    <w:rsid w:val="00EB786A"/>
    <w:rsid w:val="00EC1578"/>
    <w:rsid w:val="00EC1BFC"/>
    <w:rsid w:val="00EC1C72"/>
    <w:rsid w:val="00EC3356"/>
    <w:rsid w:val="00EC3CC9"/>
    <w:rsid w:val="00EC5D85"/>
    <w:rsid w:val="00EC680A"/>
    <w:rsid w:val="00ED511C"/>
    <w:rsid w:val="00ED7229"/>
    <w:rsid w:val="00EE25CB"/>
    <w:rsid w:val="00EE2BED"/>
    <w:rsid w:val="00EE374B"/>
    <w:rsid w:val="00EE4A87"/>
    <w:rsid w:val="00EF2869"/>
    <w:rsid w:val="00F05D60"/>
    <w:rsid w:val="00F07224"/>
    <w:rsid w:val="00F07FD3"/>
    <w:rsid w:val="00F11BB5"/>
    <w:rsid w:val="00F1296C"/>
    <w:rsid w:val="00F1417B"/>
    <w:rsid w:val="00F1712D"/>
    <w:rsid w:val="00F17A17"/>
    <w:rsid w:val="00F208A0"/>
    <w:rsid w:val="00F2115E"/>
    <w:rsid w:val="00F27B3D"/>
    <w:rsid w:val="00F30ABD"/>
    <w:rsid w:val="00F34B99"/>
    <w:rsid w:val="00F40B02"/>
    <w:rsid w:val="00F41E81"/>
    <w:rsid w:val="00F51720"/>
    <w:rsid w:val="00F51CF2"/>
    <w:rsid w:val="00F52DAB"/>
    <w:rsid w:val="00F543F0"/>
    <w:rsid w:val="00F55E3E"/>
    <w:rsid w:val="00F57601"/>
    <w:rsid w:val="00F73F99"/>
    <w:rsid w:val="00F75F80"/>
    <w:rsid w:val="00F81D29"/>
    <w:rsid w:val="00F90BE5"/>
    <w:rsid w:val="00F91C4D"/>
    <w:rsid w:val="00F92FD9"/>
    <w:rsid w:val="00FA37B1"/>
    <w:rsid w:val="00FA3E0B"/>
    <w:rsid w:val="00FA5EF7"/>
    <w:rsid w:val="00FA6684"/>
    <w:rsid w:val="00FA731E"/>
    <w:rsid w:val="00FA7BD0"/>
    <w:rsid w:val="00FB1DCF"/>
    <w:rsid w:val="00FB2B38"/>
    <w:rsid w:val="00FB61CE"/>
    <w:rsid w:val="00FB7A07"/>
    <w:rsid w:val="00FC04CC"/>
    <w:rsid w:val="00FC2066"/>
    <w:rsid w:val="00FC6358"/>
    <w:rsid w:val="00FD1381"/>
    <w:rsid w:val="00FD320D"/>
    <w:rsid w:val="00FD7FAC"/>
    <w:rsid w:val="00FE1B98"/>
    <w:rsid w:val="00FE23DE"/>
    <w:rsid w:val="00FF1801"/>
    <w:rsid w:val="00FF6842"/>
    <w:rsid w:val="02F254D6"/>
    <w:rsid w:val="035B751F"/>
    <w:rsid w:val="040E27E3"/>
    <w:rsid w:val="05A66201"/>
    <w:rsid w:val="05B13426"/>
    <w:rsid w:val="0656123C"/>
    <w:rsid w:val="07373DFF"/>
    <w:rsid w:val="07A11279"/>
    <w:rsid w:val="07E62ECA"/>
    <w:rsid w:val="085A7248"/>
    <w:rsid w:val="08BD6C06"/>
    <w:rsid w:val="090A4186"/>
    <w:rsid w:val="091F0FEF"/>
    <w:rsid w:val="0B4E5BBB"/>
    <w:rsid w:val="0C5C30C8"/>
    <w:rsid w:val="0D4B23B2"/>
    <w:rsid w:val="0D951880"/>
    <w:rsid w:val="0DED5218"/>
    <w:rsid w:val="0E0A5DCA"/>
    <w:rsid w:val="0F4B04C8"/>
    <w:rsid w:val="0F796ED8"/>
    <w:rsid w:val="10065563"/>
    <w:rsid w:val="10A959B7"/>
    <w:rsid w:val="1182036D"/>
    <w:rsid w:val="119E3BE7"/>
    <w:rsid w:val="126715CB"/>
    <w:rsid w:val="12AF6F40"/>
    <w:rsid w:val="141D5EBC"/>
    <w:rsid w:val="14C60571"/>
    <w:rsid w:val="16F969DB"/>
    <w:rsid w:val="177B5642"/>
    <w:rsid w:val="196A76A5"/>
    <w:rsid w:val="19CC6629"/>
    <w:rsid w:val="19E27BFB"/>
    <w:rsid w:val="1A09162B"/>
    <w:rsid w:val="1A5672A7"/>
    <w:rsid w:val="1A5A3C35"/>
    <w:rsid w:val="1AF65F7B"/>
    <w:rsid w:val="1B413411"/>
    <w:rsid w:val="1CCB41E4"/>
    <w:rsid w:val="1CF351B8"/>
    <w:rsid w:val="1D3C6163"/>
    <w:rsid w:val="1D9C6CB2"/>
    <w:rsid w:val="1E2E6319"/>
    <w:rsid w:val="1E830C01"/>
    <w:rsid w:val="1EC16A83"/>
    <w:rsid w:val="1EFF6AF0"/>
    <w:rsid w:val="1F843502"/>
    <w:rsid w:val="1FC82DF0"/>
    <w:rsid w:val="205253AE"/>
    <w:rsid w:val="206155F1"/>
    <w:rsid w:val="22521696"/>
    <w:rsid w:val="246A0F18"/>
    <w:rsid w:val="25415EAB"/>
    <w:rsid w:val="25CB1E8B"/>
    <w:rsid w:val="275A06A7"/>
    <w:rsid w:val="280132CB"/>
    <w:rsid w:val="29822903"/>
    <w:rsid w:val="29DD0089"/>
    <w:rsid w:val="2A9E66B9"/>
    <w:rsid w:val="2B0B42D4"/>
    <w:rsid w:val="2B603773"/>
    <w:rsid w:val="2B7E34FB"/>
    <w:rsid w:val="2C380380"/>
    <w:rsid w:val="2C7231A6"/>
    <w:rsid w:val="2CF24AC4"/>
    <w:rsid w:val="2D095047"/>
    <w:rsid w:val="2D327DCD"/>
    <w:rsid w:val="2E3D31FA"/>
    <w:rsid w:val="2F065CE2"/>
    <w:rsid w:val="2F6824F8"/>
    <w:rsid w:val="2FAA44AC"/>
    <w:rsid w:val="2FE2558D"/>
    <w:rsid w:val="3019372E"/>
    <w:rsid w:val="305B1B98"/>
    <w:rsid w:val="30731155"/>
    <w:rsid w:val="30890978"/>
    <w:rsid w:val="30DC25DF"/>
    <w:rsid w:val="3115220C"/>
    <w:rsid w:val="31CF17BF"/>
    <w:rsid w:val="31F87202"/>
    <w:rsid w:val="327775A4"/>
    <w:rsid w:val="33134E71"/>
    <w:rsid w:val="33A6558D"/>
    <w:rsid w:val="347E2C26"/>
    <w:rsid w:val="34967B08"/>
    <w:rsid w:val="350E39CD"/>
    <w:rsid w:val="35DF3185"/>
    <w:rsid w:val="36394BEF"/>
    <w:rsid w:val="3662539F"/>
    <w:rsid w:val="370B205A"/>
    <w:rsid w:val="375A477E"/>
    <w:rsid w:val="37B44762"/>
    <w:rsid w:val="388D1222"/>
    <w:rsid w:val="39CE564E"/>
    <w:rsid w:val="3A6147AE"/>
    <w:rsid w:val="3A9F1D18"/>
    <w:rsid w:val="3BB014AF"/>
    <w:rsid w:val="3DCF03CF"/>
    <w:rsid w:val="3DF338D5"/>
    <w:rsid w:val="3E295549"/>
    <w:rsid w:val="3E587BDC"/>
    <w:rsid w:val="3F6A2E3E"/>
    <w:rsid w:val="40C544FD"/>
    <w:rsid w:val="410D2F00"/>
    <w:rsid w:val="41CA7043"/>
    <w:rsid w:val="43CC2BFE"/>
    <w:rsid w:val="43D15EDE"/>
    <w:rsid w:val="44EE3048"/>
    <w:rsid w:val="45906A66"/>
    <w:rsid w:val="4605689B"/>
    <w:rsid w:val="46821D83"/>
    <w:rsid w:val="46F17240"/>
    <w:rsid w:val="475413A4"/>
    <w:rsid w:val="479779C7"/>
    <w:rsid w:val="47A3011A"/>
    <w:rsid w:val="487F2935"/>
    <w:rsid w:val="48ED3874"/>
    <w:rsid w:val="4933226B"/>
    <w:rsid w:val="49630521"/>
    <w:rsid w:val="49EB5DA8"/>
    <w:rsid w:val="4A01742E"/>
    <w:rsid w:val="4A056E6A"/>
    <w:rsid w:val="4A8E7F4C"/>
    <w:rsid w:val="4B3B4AB7"/>
    <w:rsid w:val="4C9444D5"/>
    <w:rsid w:val="4D517FB6"/>
    <w:rsid w:val="4D9560DA"/>
    <w:rsid w:val="4DC975B6"/>
    <w:rsid w:val="4E256F6D"/>
    <w:rsid w:val="4EE334F2"/>
    <w:rsid w:val="4F563CC4"/>
    <w:rsid w:val="4F58791E"/>
    <w:rsid w:val="4F6603AB"/>
    <w:rsid w:val="501F41A7"/>
    <w:rsid w:val="511D27BE"/>
    <w:rsid w:val="51A4787B"/>
    <w:rsid w:val="51B00C40"/>
    <w:rsid w:val="51C4585C"/>
    <w:rsid w:val="52165C43"/>
    <w:rsid w:val="52EA7388"/>
    <w:rsid w:val="52F932E4"/>
    <w:rsid w:val="542947A2"/>
    <w:rsid w:val="54C17E31"/>
    <w:rsid w:val="550E24D4"/>
    <w:rsid w:val="552D0B4D"/>
    <w:rsid w:val="556C2493"/>
    <w:rsid w:val="57C55E8A"/>
    <w:rsid w:val="596F323B"/>
    <w:rsid w:val="59716CF6"/>
    <w:rsid w:val="59741916"/>
    <w:rsid w:val="5ACB1A0A"/>
    <w:rsid w:val="5B287002"/>
    <w:rsid w:val="5B597015"/>
    <w:rsid w:val="5C077574"/>
    <w:rsid w:val="5C0C22DA"/>
    <w:rsid w:val="5C195D05"/>
    <w:rsid w:val="5C9347A9"/>
    <w:rsid w:val="5CA16EC6"/>
    <w:rsid w:val="5D5E0913"/>
    <w:rsid w:val="5E6511BA"/>
    <w:rsid w:val="5EFA052E"/>
    <w:rsid w:val="603C0CB4"/>
    <w:rsid w:val="611A7247"/>
    <w:rsid w:val="612B6DDA"/>
    <w:rsid w:val="613C6DAD"/>
    <w:rsid w:val="61CE02C9"/>
    <w:rsid w:val="62127F1E"/>
    <w:rsid w:val="627F218F"/>
    <w:rsid w:val="640505AB"/>
    <w:rsid w:val="65197815"/>
    <w:rsid w:val="654241CF"/>
    <w:rsid w:val="659B63F1"/>
    <w:rsid w:val="65F22D97"/>
    <w:rsid w:val="674F751F"/>
    <w:rsid w:val="689D1C4E"/>
    <w:rsid w:val="6BF05EF2"/>
    <w:rsid w:val="6C4142B7"/>
    <w:rsid w:val="6C4953B9"/>
    <w:rsid w:val="6C621AA2"/>
    <w:rsid w:val="6D1A237D"/>
    <w:rsid w:val="6DB92D04"/>
    <w:rsid w:val="6DE37749"/>
    <w:rsid w:val="6DF42BCE"/>
    <w:rsid w:val="6EA463A2"/>
    <w:rsid w:val="6F896C6F"/>
    <w:rsid w:val="7016507D"/>
    <w:rsid w:val="70182BA3"/>
    <w:rsid w:val="70E07A28"/>
    <w:rsid w:val="71962DEE"/>
    <w:rsid w:val="720B4129"/>
    <w:rsid w:val="7237457D"/>
    <w:rsid w:val="72EE22E1"/>
    <w:rsid w:val="73093CC1"/>
    <w:rsid w:val="7497195A"/>
    <w:rsid w:val="750F01DD"/>
    <w:rsid w:val="76067942"/>
    <w:rsid w:val="76862DEF"/>
    <w:rsid w:val="76E05E66"/>
    <w:rsid w:val="76EA1469"/>
    <w:rsid w:val="773F7D5B"/>
    <w:rsid w:val="776B3F01"/>
    <w:rsid w:val="776D052D"/>
    <w:rsid w:val="77DD0CE7"/>
    <w:rsid w:val="7840538D"/>
    <w:rsid w:val="79403182"/>
    <w:rsid w:val="79D620CB"/>
    <w:rsid w:val="79E461EC"/>
    <w:rsid w:val="79FA26B2"/>
    <w:rsid w:val="7AA8721A"/>
    <w:rsid w:val="7AB160CE"/>
    <w:rsid w:val="7BB94175"/>
    <w:rsid w:val="7C240B22"/>
    <w:rsid w:val="7CD211BC"/>
    <w:rsid w:val="7DBB611B"/>
    <w:rsid w:val="7EAD73BB"/>
    <w:rsid w:val="7F6F6558"/>
    <w:rsid w:val="7FC20E95"/>
    <w:rsid w:val="7FD557E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39" w:semiHidden="0" w:name="toc 7"/>
    <w:lsdException w:qFormat="1" w:unhideWhenUsed="0" w:uiPriority="0" w:name="toc 8"/>
    <w:lsdException w:qFormat="1" w:unhideWhenUsed="0" w:uiPriority="0" w:name="toc 9"/>
    <w:lsdException w:uiPriority="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qFormat="1" w:uiPriority="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99" w:semiHidden="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60"/>
    <w:qFormat/>
    <w:uiPriority w:val="0"/>
    <w:rPr>
      <w:color w:val="003366"/>
      <w:kern w:val="10"/>
    </w:rPr>
  </w:style>
  <w:style w:type="paragraph" w:styleId="3">
    <w:name w:val="toc 7"/>
    <w:basedOn w:val="1"/>
    <w:next w:val="1"/>
    <w:autoRedefine/>
    <w:qFormat/>
    <w:uiPriority w:val="39"/>
    <w:pPr>
      <w:tabs>
        <w:tab w:val="right" w:leader="dot" w:pos="9241"/>
      </w:tabs>
      <w:ind w:firstLine="505" w:firstLineChars="500"/>
      <w:jc w:val="left"/>
    </w:pPr>
    <w:rPr>
      <w:rFonts w:ascii="宋体"/>
      <w:szCs w:val="21"/>
    </w:rPr>
  </w:style>
  <w:style w:type="paragraph" w:styleId="4">
    <w:name w:val="index 8"/>
    <w:basedOn w:val="1"/>
    <w:next w:val="1"/>
    <w:autoRedefine/>
    <w:qFormat/>
    <w:uiPriority w:val="0"/>
    <w:pPr>
      <w:ind w:left="1680" w:hanging="210"/>
      <w:jc w:val="left"/>
    </w:pPr>
    <w:rPr>
      <w:rFonts w:ascii="Calibri" w:hAnsi="Calibri"/>
      <w:sz w:val="20"/>
      <w:szCs w:val="20"/>
    </w:rPr>
  </w:style>
  <w:style w:type="paragraph" w:styleId="5">
    <w:name w:val="caption"/>
    <w:basedOn w:val="1"/>
    <w:next w:val="1"/>
    <w:autoRedefine/>
    <w:qFormat/>
    <w:uiPriority w:val="0"/>
    <w:pPr>
      <w:spacing w:before="152" w:after="160"/>
    </w:pPr>
    <w:rPr>
      <w:rFonts w:ascii="Arial" w:hAnsi="Arial" w:eastAsia="黑体" w:cs="Arial"/>
      <w:sz w:val="20"/>
      <w:szCs w:val="20"/>
    </w:rPr>
  </w:style>
  <w:style w:type="paragraph" w:styleId="6">
    <w:name w:val="index 5"/>
    <w:basedOn w:val="1"/>
    <w:next w:val="1"/>
    <w:autoRedefine/>
    <w:qFormat/>
    <w:uiPriority w:val="0"/>
    <w:pPr>
      <w:ind w:left="1050" w:hanging="210"/>
      <w:jc w:val="left"/>
    </w:pPr>
    <w:rPr>
      <w:rFonts w:ascii="Calibri" w:hAnsi="Calibri"/>
      <w:sz w:val="20"/>
      <w:szCs w:val="20"/>
    </w:rPr>
  </w:style>
  <w:style w:type="paragraph" w:styleId="7">
    <w:name w:val="Document Map"/>
    <w:basedOn w:val="1"/>
    <w:autoRedefine/>
    <w:semiHidden/>
    <w:qFormat/>
    <w:uiPriority w:val="0"/>
    <w:pPr>
      <w:shd w:val="clear" w:color="auto" w:fill="000080"/>
    </w:pPr>
  </w:style>
  <w:style w:type="paragraph" w:styleId="8">
    <w:name w:val="annotation text"/>
    <w:basedOn w:val="1"/>
    <w:link w:val="157"/>
    <w:qFormat/>
    <w:uiPriority w:val="0"/>
    <w:pPr>
      <w:jc w:val="left"/>
    </w:pPr>
  </w:style>
  <w:style w:type="paragraph" w:styleId="9">
    <w:name w:val="index 6"/>
    <w:basedOn w:val="1"/>
    <w:next w:val="1"/>
    <w:autoRedefine/>
    <w:qFormat/>
    <w:uiPriority w:val="0"/>
    <w:pPr>
      <w:ind w:left="1260" w:hanging="210"/>
      <w:jc w:val="left"/>
    </w:pPr>
    <w:rPr>
      <w:rFonts w:ascii="Calibri" w:hAnsi="Calibri"/>
      <w:sz w:val="20"/>
      <w:szCs w:val="20"/>
    </w:rPr>
  </w:style>
  <w:style w:type="paragraph" w:styleId="10">
    <w:name w:val="index 4"/>
    <w:basedOn w:val="1"/>
    <w:next w:val="1"/>
    <w:autoRedefine/>
    <w:qFormat/>
    <w:uiPriority w:val="0"/>
    <w:pPr>
      <w:ind w:left="840" w:hanging="210"/>
      <w:jc w:val="left"/>
    </w:pPr>
    <w:rPr>
      <w:rFonts w:ascii="Calibri" w:hAnsi="Calibri"/>
      <w:sz w:val="20"/>
      <w:szCs w:val="20"/>
    </w:rPr>
  </w:style>
  <w:style w:type="paragraph" w:styleId="11">
    <w:name w:val="toc 5"/>
    <w:basedOn w:val="1"/>
    <w:next w:val="1"/>
    <w:autoRedefine/>
    <w:semiHidden/>
    <w:qFormat/>
    <w:uiPriority w:val="0"/>
    <w:pPr>
      <w:tabs>
        <w:tab w:val="right" w:leader="dot" w:pos="9241"/>
      </w:tabs>
      <w:ind w:firstLine="300" w:firstLineChars="300"/>
      <w:jc w:val="left"/>
    </w:pPr>
    <w:rPr>
      <w:rFonts w:ascii="宋体"/>
      <w:szCs w:val="21"/>
    </w:rPr>
  </w:style>
  <w:style w:type="paragraph" w:styleId="12">
    <w:name w:val="toc 3"/>
    <w:basedOn w:val="1"/>
    <w:next w:val="1"/>
    <w:autoRedefine/>
    <w:qFormat/>
    <w:uiPriority w:val="39"/>
    <w:pPr>
      <w:tabs>
        <w:tab w:val="right" w:leader="dot" w:pos="9241"/>
      </w:tabs>
      <w:ind w:firstLine="102" w:firstLineChars="100"/>
      <w:jc w:val="left"/>
    </w:pPr>
    <w:rPr>
      <w:rFonts w:ascii="宋体"/>
      <w:szCs w:val="21"/>
    </w:rPr>
  </w:style>
  <w:style w:type="paragraph" w:styleId="13">
    <w:name w:val="toc 8"/>
    <w:basedOn w:val="1"/>
    <w:next w:val="1"/>
    <w:autoRedefine/>
    <w:semiHidden/>
    <w:qFormat/>
    <w:uiPriority w:val="0"/>
    <w:pPr>
      <w:tabs>
        <w:tab w:val="right" w:leader="dot" w:pos="9241"/>
      </w:tabs>
      <w:ind w:firstLine="607" w:firstLineChars="600"/>
      <w:jc w:val="left"/>
    </w:pPr>
    <w:rPr>
      <w:rFonts w:ascii="宋体"/>
      <w:szCs w:val="21"/>
    </w:rPr>
  </w:style>
  <w:style w:type="paragraph" w:styleId="14">
    <w:name w:val="index 3"/>
    <w:basedOn w:val="1"/>
    <w:next w:val="1"/>
    <w:autoRedefine/>
    <w:qFormat/>
    <w:uiPriority w:val="0"/>
    <w:pPr>
      <w:ind w:left="630" w:hanging="210"/>
      <w:jc w:val="left"/>
    </w:pPr>
    <w:rPr>
      <w:rFonts w:ascii="Calibri" w:hAnsi="Calibri"/>
      <w:sz w:val="20"/>
      <w:szCs w:val="20"/>
    </w:rPr>
  </w:style>
  <w:style w:type="paragraph" w:styleId="15">
    <w:name w:val="endnote text"/>
    <w:basedOn w:val="1"/>
    <w:autoRedefine/>
    <w:semiHidden/>
    <w:qFormat/>
    <w:uiPriority w:val="0"/>
    <w:pPr>
      <w:snapToGrid w:val="0"/>
      <w:jc w:val="left"/>
    </w:pPr>
  </w:style>
  <w:style w:type="paragraph" w:styleId="16">
    <w:name w:val="Balloon Text"/>
    <w:basedOn w:val="1"/>
    <w:link w:val="143"/>
    <w:autoRedefine/>
    <w:qFormat/>
    <w:uiPriority w:val="0"/>
    <w:rPr>
      <w:sz w:val="18"/>
      <w:szCs w:val="18"/>
    </w:rPr>
  </w:style>
  <w:style w:type="paragraph" w:styleId="17">
    <w:name w:val="footer"/>
    <w:basedOn w:val="1"/>
    <w:autoRedefine/>
    <w:qFormat/>
    <w:uiPriority w:val="0"/>
    <w:pPr>
      <w:snapToGrid w:val="0"/>
      <w:ind w:right="210" w:rightChars="100"/>
      <w:jc w:val="right"/>
    </w:pPr>
    <w:rPr>
      <w:sz w:val="18"/>
      <w:szCs w:val="18"/>
    </w:rPr>
  </w:style>
  <w:style w:type="paragraph" w:styleId="18">
    <w:name w:val="header"/>
    <w:basedOn w:val="1"/>
    <w:autoRedefine/>
    <w:qFormat/>
    <w:uiPriority w:val="0"/>
    <w:pPr>
      <w:snapToGrid w:val="0"/>
      <w:jc w:val="left"/>
    </w:pPr>
    <w:rPr>
      <w:sz w:val="18"/>
      <w:szCs w:val="18"/>
    </w:rPr>
  </w:style>
  <w:style w:type="paragraph" w:styleId="19">
    <w:name w:val="toc 1"/>
    <w:basedOn w:val="1"/>
    <w:next w:val="1"/>
    <w:autoRedefine/>
    <w:qFormat/>
    <w:uiPriority w:val="39"/>
    <w:pPr>
      <w:tabs>
        <w:tab w:val="right" w:leader="dot" w:pos="9241"/>
      </w:tabs>
      <w:spacing w:beforeLines="25" w:afterLines="25"/>
      <w:jc w:val="left"/>
    </w:pPr>
    <w:rPr>
      <w:rFonts w:ascii="宋体"/>
      <w:szCs w:val="21"/>
    </w:rPr>
  </w:style>
  <w:style w:type="paragraph" w:styleId="20">
    <w:name w:val="toc 4"/>
    <w:basedOn w:val="1"/>
    <w:next w:val="1"/>
    <w:autoRedefine/>
    <w:semiHidden/>
    <w:qFormat/>
    <w:uiPriority w:val="0"/>
    <w:pPr>
      <w:tabs>
        <w:tab w:val="right" w:leader="dot" w:pos="9241"/>
      </w:tabs>
      <w:ind w:firstLine="198" w:firstLineChars="200"/>
      <w:jc w:val="left"/>
    </w:pPr>
    <w:rPr>
      <w:rFonts w:ascii="宋体"/>
      <w:szCs w:val="21"/>
    </w:rPr>
  </w:style>
  <w:style w:type="paragraph" w:styleId="21">
    <w:name w:val="index heading"/>
    <w:basedOn w:val="1"/>
    <w:next w:val="22"/>
    <w:autoRedefine/>
    <w:qFormat/>
    <w:uiPriority w:val="0"/>
    <w:pPr>
      <w:spacing w:before="120" w:after="120"/>
      <w:jc w:val="center"/>
    </w:pPr>
    <w:rPr>
      <w:rFonts w:ascii="Calibri" w:hAnsi="Calibri"/>
      <w:b/>
      <w:bCs/>
      <w:iCs/>
      <w:szCs w:val="20"/>
    </w:rPr>
  </w:style>
  <w:style w:type="paragraph" w:styleId="22">
    <w:name w:val="index 1"/>
    <w:basedOn w:val="1"/>
    <w:next w:val="23"/>
    <w:autoRedefine/>
    <w:qFormat/>
    <w:uiPriority w:val="0"/>
    <w:pPr>
      <w:tabs>
        <w:tab w:val="right" w:leader="dot" w:pos="9299"/>
      </w:tabs>
      <w:jc w:val="left"/>
    </w:pPr>
    <w:rPr>
      <w:rFonts w:ascii="宋体"/>
      <w:szCs w:val="21"/>
    </w:rPr>
  </w:style>
  <w:style w:type="paragraph" w:customStyle="1" w:styleId="23">
    <w:name w:val="段"/>
    <w:link w:val="43"/>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4">
    <w:name w:val="footnote text"/>
    <w:basedOn w:val="1"/>
    <w:autoRedefine/>
    <w:qFormat/>
    <w:uiPriority w:val="0"/>
    <w:pPr>
      <w:numPr>
        <w:ilvl w:val="0"/>
        <w:numId w:val="1"/>
      </w:numPr>
      <w:snapToGrid w:val="0"/>
      <w:jc w:val="left"/>
    </w:pPr>
    <w:rPr>
      <w:rFonts w:ascii="宋体"/>
      <w:sz w:val="18"/>
      <w:szCs w:val="18"/>
    </w:rPr>
  </w:style>
  <w:style w:type="paragraph" w:styleId="25">
    <w:name w:val="toc 6"/>
    <w:basedOn w:val="1"/>
    <w:next w:val="1"/>
    <w:autoRedefine/>
    <w:semiHidden/>
    <w:qFormat/>
    <w:uiPriority w:val="0"/>
    <w:pPr>
      <w:tabs>
        <w:tab w:val="right" w:leader="dot" w:pos="9241"/>
      </w:tabs>
      <w:ind w:firstLine="403" w:firstLineChars="400"/>
      <w:jc w:val="left"/>
    </w:pPr>
    <w:rPr>
      <w:rFonts w:ascii="宋体"/>
      <w:szCs w:val="21"/>
    </w:rPr>
  </w:style>
  <w:style w:type="paragraph" w:styleId="26">
    <w:name w:val="index 7"/>
    <w:basedOn w:val="1"/>
    <w:next w:val="1"/>
    <w:autoRedefine/>
    <w:qFormat/>
    <w:uiPriority w:val="0"/>
    <w:pPr>
      <w:ind w:left="1470" w:hanging="210"/>
      <w:jc w:val="left"/>
    </w:pPr>
    <w:rPr>
      <w:rFonts w:ascii="Calibri" w:hAnsi="Calibri"/>
      <w:sz w:val="20"/>
      <w:szCs w:val="20"/>
    </w:rPr>
  </w:style>
  <w:style w:type="paragraph" w:styleId="27">
    <w:name w:val="index 9"/>
    <w:basedOn w:val="1"/>
    <w:next w:val="1"/>
    <w:autoRedefine/>
    <w:qFormat/>
    <w:uiPriority w:val="0"/>
    <w:pPr>
      <w:ind w:left="1890" w:hanging="210"/>
      <w:jc w:val="left"/>
    </w:pPr>
    <w:rPr>
      <w:rFonts w:ascii="Calibri" w:hAnsi="Calibri"/>
      <w:sz w:val="20"/>
      <w:szCs w:val="20"/>
    </w:rPr>
  </w:style>
  <w:style w:type="paragraph" w:styleId="28">
    <w:name w:val="toc 2"/>
    <w:basedOn w:val="1"/>
    <w:next w:val="1"/>
    <w:autoRedefine/>
    <w:semiHidden/>
    <w:qFormat/>
    <w:uiPriority w:val="0"/>
    <w:pPr>
      <w:tabs>
        <w:tab w:val="right" w:leader="dot" w:pos="9241"/>
      </w:tabs>
    </w:pPr>
    <w:rPr>
      <w:rFonts w:ascii="宋体"/>
      <w:szCs w:val="21"/>
    </w:rPr>
  </w:style>
  <w:style w:type="paragraph" w:styleId="29">
    <w:name w:val="toc 9"/>
    <w:basedOn w:val="1"/>
    <w:next w:val="1"/>
    <w:autoRedefine/>
    <w:semiHidden/>
    <w:qFormat/>
    <w:uiPriority w:val="0"/>
    <w:pPr>
      <w:ind w:left="1470"/>
      <w:jc w:val="left"/>
    </w:pPr>
    <w:rPr>
      <w:sz w:val="20"/>
      <w:szCs w:val="20"/>
    </w:rPr>
  </w:style>
  <w:style w:type="paragraph" w:styleId="30">
    <w:name w:val="Body Text 2"/>
    <w:basedOn w:val="1"/>
    <w:autoRedefine/>
    <w:qFormat/>
    <w:uiPriority w:val="99"/>
    <w:pPr>
      <w:widowControl/>
      <w:adjustRightInd w:val="0"/>
    </w:pPr>
    <w:rPr>
      <w:rFonts w:ascii="Calibri" w:hAnsi="Calibri"/>
      <w:lang w:val="zh-CN" w:bidi="en-US"/>
    </w:rPr>
  </w:style>
  <w:style w:type="paragraph" w:styleId="31">
    <w:name w:val="index 2"/>
    <w:basedOn w:val="1"/>
    <w:next w:val="1"/>
    <w:autoRedefine/>
    <w:qFormat/>
    <w:uiPriority w:val="0"/>
    <w:pPr>
      <w:ind w:left="420" w:hanging="210"/>
      <w:jc w:val="left"/>
    </w:pPr>
    <w:rPr>
      <w:rFonts w:ascii="Calibri" w:hAnsi="Calibri"/>
      <w:sz w:val="20"/>
      <w:szCs w:val="20"/>
    </w:rPr>
  </w:style>
  <w:style w:type="paragraph" w:styleId="32">
    <w:name w:val="Title"/>
    <w:basedOn w:val="1"/>
    <w:next w:val="1"/>
    <w:qFormat/>
    <w:uiPriority w:val="0"/>
    <w:pPr>
      <w:spacing w:before="240" w:after="60"/>
      <w:jc w:val="center"/>
      <w:outlineLvl w:val="0"/>
    </w:pPr>
    <w:rPr>
      <w:rFonts w:ascii="Arial" w:hAnsi="Arial"/>
      <w:b/>
      <w:sz w:val="32"/>
    </w:rPr>
  </w:style>
  <w:style w:type="paragraph" w:styleId="33">
    <w:name w:val="annotation subject"/>
    <w:basedOn w:val="8"/>
    <w:next w:val="8"/>
    <w:link w:val="158"/>
    <w:semiHidden/>
    <w:unhideWhenUsed/>
    <w:qFormat/>
    <w:uiPriority w:val="0"/>
    <w:rPr>
      <w:b/>
      <w:bCs/>
    </w:rPr>
  </w:style>
  <w:style w:type="table" w:styleId="35">
    <w:name w:val="Table Grid"/>
    <w:basedOn w:val="34"/>
    <w:autoRedefine/>
    <w:qFormat/>
    <w:uiPriority w:val="3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7">
    <w:name w:val="endnote reference"/>
    <w:autoRedefine/>
    <w:semiHidden/>
    <w:qFormat/>
    <w:uiPriority w:val="0"/>
    <w:rPr>
      <w:vertAlign w:val="superscript"/>
    </w:rPr>
  </w:style>
  <w:style w:type="character" w:styleId="38">
    <w:name w:val="page number"/>
    <w:autoRedefine/>
    <w:qFormat/>
    <w:uiPriority w:val="0"/>
    <w:rPr>
      <w:rFonts w:ascii="Times New Roman" w:hAnsi="Times New Roman" w:eastAsia="宋体"/>
      <w:sz w:val="18"/>
    </w:rPr>
  </w:style>
  <w:style w:type="character" w:styleId="39">
    <w:name w:val="FollowedHyperlink"/>
    <w:autoRedefine/>
    <w:qFormat/>
    <w:uiPriority w:val="0"/>
    <w:rPr>
      <w:color w:val="800080"/>
      <w:u w:val="single"/>
    </w:rPr>
  </w:style>
  <w:style w:type="character" w:styleId="40">
    <w:name w:val="Hyperlink"/>
    <w:autoRedefine/>
    <w:qFormat/>
    <w:uiPriority w:val="99"/>
    <w:rPr>
      <w:color w:val="0000FF"/>
      <w:spacing w:val="0"/>
      <w:w w:val="100"/>
      <w:szCs w:val="21"/>
      <w:u w:val="single"/>
    </w:rPr>
  </w:style>
  <w:style w:type="character" w:styleId="41">
    <w:name w:val="annotation reference"/>
    <w:basedOn w:val="36"/>
    <w:semiHidden/>
    <w:unhideWhenUsed/>
    <w:qFormat/>
    <w:uiPriority w:val="0"/>
    <w:rPr>
      <w:sz w:val="21"/>
      <w:szCs w:val="21"/>
    </w:rPr>
  </w:style>
  <w:style w:type="character" w:styleId="42">
    <w:name w:val="footnote reference"/>
    <w:autoRedefine/>
    <w:semiHidden/>
    <w:qFormat/>
    <w:uiPriority w:val="0"/>
    <w:rPr>
      <w:vertAlign w:val="superscript"/>
    </w:rPr>
  </w:style>
  <w:style w:type="character" w:customStyle="1" w:styleId="43">
    <w:name w:val="段 Char"/>
    <w:link w:val="23"/>
    <w:autoRedefine/>
    <w:qFormat/>
    <w:uiPriority w:val="0"/>
    <w:rPr>
      <w:rFonts w:ascii="宋体"/>
      <w:sz w:val="21"/>
      <w:lang w:val="en-US" w:eastAsia="zh-CN" w:bidi="ar-SA"/>
    </w:rPr>
  </w:style>
  <w:style w:type="paragraph" w:customStyle="1" w:styleId="44">
    <w:name w:val="一级条标题"/>
    <w:next w:val="23"/>
    <w:autoRedefine/>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5">
    <w:name w:val="标准书脚_奇数页"/>
    <w:autoRedefine/>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46">
    <w:name w:val="标准书眉_奇数页"/>
    <w:next w:val="1"/>
    <w:autoRedefine/>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7">
    <w:name w:val="章标题"/>
    <w:next w:val="23"/>
    <w:autoRedefine/>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8">
    <w:name w:val="二级条标题"/>
    <w:basedOn w:val="44"/>
    <w:next w:val="23"/>
    <w:autoRedefine/>
    <w:qFormat/>
    <w:uiPriority w:val="0"/>
    <w:pPr>
      <w:numPr>
        <w:ilvl w:val="2"/>
      </w:numPr>
      <w:spacing w:before="50" w:after="50"/>
      <w:outlineLvl w:val="3"/>
    </w:pPr>
  </w:style>
  <w:style w:type="paragraph" w:customStyle="1" w:styleId="49">
    <w:name w:val="封面标准号2"/>
    <w:autoRedefine/>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50">
    <w:name w:val="列项——（一级）"/>
    <w:autoRedefine/>
    <w:qFormat/>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51">
    <w:name w:val="列项●（二级）"/>
    <w:autoRedefine/>
    <w:qFormat/>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2">
    <w:name w:val="目次、标准名称标题"/>
    <w:basedOn w:val="1"/>
    <w:next w:val="23"/>
    <w:link w:val="141"/>
    <w:autoRedefine/>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3">
    <w:name w:val="三级条标题"/>
    <w:basedOn w:val="48"/>
    <w:next w:val="23"/>
    <w:autoRedefine/>
    <w:qFormat/>
    <w:uiPriority w:val="0"/>
    <w:pPr>
      <w:numPr>
        <w:ilvl w:val="3"/>
      </w:numPr>
      <w:outlineLvl w:val="4"/>
    </w:pPr>
  </w:style>
  <w:style w:type="paragraph" w:customStyle="1" w:styleId="54">
    <w:name w:val="示例"/>
    <w:next w:val="55"/>
    <w:autoRedefine/>
    <w:qFormat/>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5">
    <w:name w:val="示例内容"/>
    <w:autoRedefine/>
    <w:qFormat/>
    <w:uiPriority w:val="0"/>
    <w:pPr>
      <w:ind w:firstLine="200" w:firstLineChars="200"/>
    </w:pPr>
    <w:rPr>
      <w:rFonts w:ascii="宋体" w:hAnsi="Times New Roman" w:eastAsia="宋体" w:cs="Times New Roman"/>
      <w:sz w:val="18"/>
      <w:szCs w:val="18"/>
      <w:lang w:val="en-US" w:eastAsia="zh-CN" w:bidi="ar-SA"/>
    </w:rPr>
  </w:style>
  <w:style w:type="paragraph" w:customStyle="1" w:styleId="56">
    <w:name w:val="数字编号列项（二级）"/>
    <w:autoRedefine/>
    <w:qFormat/>
    <w:uiPriority w:val="0"/>
    <w:pPr>
      <w:numPr>
        <w:ilvl w:val="1"/>
        <w:numId w:val="5"/>
      </w:numPr>
      <w:jc w:val="both"/>
    </w:pPr>
    <w:rPr>
      <w:rFonts w:ascii="宋体" w:hAnsi="Times New Roman" w:eastAsia="宋体" w:cs="Times New Roman"/>
      <w:sz w:val="21"/>
      <w:lang w:val="en-US" w:eastAsia="zh-CN" w:bidi="ar-SA"/>
    </w:rPr>
  </w:style>
  <w:style w:type="paragraph" w:customStyle="1" w:styleId="57">
    <w:name w:val="四级条标题"/>
    <w:basedOn w:val="53"/>
    <w:next w:val="23"/>
    <w:autoRedefine/>
    <w:qFormat/>
    <w:uiPriority w:val="0"/>
    <w:pPr>
      <w:numPr>
        <w:ilvl w:val="4"/>
      </w:numPr>
      <w:outlineLvl w:val="5"/>
    </w:pPr>
  </w:style>
  <w:style w:type="paragraph" w:customStyle="1" w:styleId="58">
    <w:name w:val="五级条标题"/>
    <w:basedOn w:val="57"/>
    <w:next w:val="23"/>
    <w:autoRedefine/>
    <w:qFormat/>
    <w:uiPriority w:val="0"/>
    <w:pPr>
      <w:numPr>
        <w:ilvl w:val="5"/>
      </w:numPr>
      <w:outlineLvl w:val="6"/>
    </w:pPr>
  </w:style>
  <w:style w:type="paragraph" w:customStyle="1" w:styleId="59">
    <w:name w:val="注："/>
    <w:next w:val="23"/>
    <w:autoRedefine/>
    <w:qFormat/>
    <w:uiPriority w:val="0"/>
    <w:pPr>
      <w:widowControl w:val="0"/>
      <w:numPr>
        <w:ilvl w:val="0"/>
        <w:numId w:val="6"/>
      </w:numPr>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60">
    <w:name w:val="注×："/>
    <w:autoRedefine/>
    <w:qFormat/>
    <w:uiPriority w:val="0"/>
    <w:pPr>
      <w:widowControl w:val="0"/>
      <w:numPr>
        <w:ilvl w:val="0"/>
        <w:numId w:val="7"/>
      </w:numPr>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61">
    <w:name w:val="字母编号列项（一级）"/>
    <w:autoRedefine/>
    <w:qFormat/>
    <w:uiPriority w:val="0"/>
    <w:pPr>
      <w:numPr>
        <w:ilvl w:val="0"/>
        <w:numId w:val="5"/>
      </w:numPr>
      <w:jc w:val="both"/>
    </w:pPr>
    <w:rPr>
      <w:rFonts w:ascii="宋体" w:hAnsi="Times New Roman" w:eastAsia="宋体" w:cs="Times New Roman"/>
      <w:sz w:val="21"/>
      <w:lang w:val="en-US" w:eastAsia="zh-CN" w:bidi="ar-SA"/>
    </w:rPr>
  </w:style>
  <w:style w:type="paragraph" w:customStyle="1" w:styleId="62">
    <w:name w:val="列项◆（三级）"/>
    <w:basedOn w:val="1"/>
    <w:autoRedefine/>
    <w:qFormat/>
    <w:uiPriority w:val="0"/>
    <w:pPr>
      <w:numPr>
        <w:ilvl w:val="2"/>
        <w:numId w:val="3"/>
      </w:numPr>
    </w:pPr>
    <w:rPr>
      <w:rFonts w:ascii="宋体"/>
      <w:szCs w:val="21"/>
    </w:rPr>
  </w:style>
  <w:style w:type="paragraph" w:customStyle="1" w:styleId="63">
    <w:name w:val="编号列项（三级）"/>
    <w:autoRedefine/>
    <w:qFormat/>
    <w:uiPriority w:val="0"/>
    <w:pPr>
      <w:numPr>
        <w:ilvl w:val="2"/>
        <w:numId w:val="5"/>
      </w:numPr>
    </w:pPr>
    <w:rPr>
      <w:rFonts w:ascii="宋体" w:hAnsi="Times New Roman" w:eastAsia="宋体" w:cs="Times New Roman"/>
      <w:sz w:val="21"/>
      <w:lang w:val="en-US" w:eastAsia="zh-CN" w:bidi="ar-SA"/>
    </w:rPr>
  </w:style>
  <w:style w:type="paragraph" w:customStyle="1" w:styleId="64">
    <w:name w:val="示例×："/>
    <w:basedOn w:val="47"/>
    <w:qFormat/>
    <w:uiPriority w:val="0"/>
    <w:pPr>
      <w:numPr>
        <w:numId w:val="8"/>
      </w:numPr>
      <w:spacing w:beforeLines="0" w:afterLines="0"/>
      <w:outlineLvl w:val="9"/>
    </w:pPr>
    <w:rPr>
      <w:rFonts w:ascii="宋体" w:eastAsia="宋体"/>
      <w:sz w:val="18"/>
      <w:szCs w:val="18"/>
    </w:rPr>
  </w:style>
  <w:style w:type="paragraph" w:customStyle="1" w:styleId="65">
    <w:name w:val="二级无"/>
    <w:basedOn w:val="48"/>
    <w:autoRedefine/>
    <w:qFormat/>
    <w:uiPriority w:val="0"/>
    <w:pPr>
      <w:numPr>
        <w:numId w:val="0"/>
      </w:numPr>
      <w:spacing w:before="0" w:beforeLines="0" w:after="0" w:afterLines="0"/>
      <w:pPrChange w:id="0" w:author="罗艳艳" w:date="2024-08-08T14:11:00Z">
        <w:pPr>
          <w:numPr>
            <w:ilvl w:val="2"/>
            <w:numId w:val="2"/>
          </w:numPr>
          <w:spacing w:before="50" w:after="50"/>
          <w:outlineLvl w:val="3"/>
        </w:pPr>
      </w:pPrChange>
    </w:pPr>
    <w:rPr>
      <w:rFonts w:hAnsi="黑体" w:cs="黑体"/>
      <w:rPrChange w:id="1" w:author="罗艳艳" w:date="2024-08-08T14:11:00Z">
        <w:rPr>
          <w:rFonts w:ascii="宋体" w:eastAsia="宋体"/>
          <w:sz w:val="21"/>
          <w:szCs w:val="21"/>
          <w:lang w:val="en-US" w:eastAsia="zh-CN" w:bidi="ar-SA"/>
        </w:rPr>
      </w:rPrChange>
    </w:rPr>
  </w:style>
  <w:style w:type="paragraph" w:customStyle="1" w:styleId="66">
    <w:name w:val="注：（正文）"/>
    <w:basedOn w:val="59"/>
    <w:next w:val="23"/>
    <w:autoRedefine/>
    <w:qFormat/>
    <w:uiPriority w:val="0"/>
    <w:pPr>
      <w:numPr>
        <w:numId w:val="9"/>
      </w:numPr>
      <w:ind w:left="726" w:hanging="363"/>
    </w:pPr>
  </w:style>
  <w:style w:type="paragraph" w:customStyle="1" w:styleId="67">
    <w:name w:val="注×：（正文）"/>
    <w:autoRedefine/>
    <w:qFormat/>
    <w:uiPriority w:val="0"/>
    <w:pPr>
      <w:numPr>
        <w:ilvl w:val="0"/>
        <w:numId w:val="10"/>
      </w:numPr>
      <w:ind w:left="811" w:hanging="448"/>
      <w:jc w:val="both"/>
    </w:pPr>
    <w:rPr>
      <w:rFonts w:ascii="宋体" w:hAnsi="Times New Roman" w:eastAsia="宋体" w:cs="Times New Roman"/>
      <w:sz w:val="18"/>
      <w:szCs w:val="18"/>
      <w:lang w:val="en-US" w:eastAsia="zh-CN" w:bidi="ar-SA"/>
    </w:rPr>
  </w:style>
  <w:style w:type="paragraph" w:customStyle="1" w:styleId="68">
    <w:name w:val="标准标志"/>
    <w:next w:val="1"/>
    <w:autoRedefine/>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69">
    <w:name w:val="标准称谓"/>
    <w:next w:val="1"/>
    <w:autoRedefine/>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70">
    <w:name w:val="标准书脚_偶数页"/>
    <w:autoRedefine/>
    <w:qFormat/>
    <w:uiPriority w:val="0"/>
    <w:pPr>
      <w:spacing w:before="120"/>
      <w:ind w:left="221"/>
    </w:pPr>
    <w:rPr>
      <w:rFonts w:ascii="宋体" w:hAnsi="Times New Roman" w:eastAsia="宋体" w:cs="Times New Roman"/>
      <w:sz w:val="18"/>
      <w:szCs w:val="18"/>
      <w:lang w:val="en-US" w:eastAsia="zh-CN" w:bidi="ar-SA"/>
    </w:rPr>
  </w:style>
  <w:style w:type="paragraph" w:customStyle="1" w:styleId="71">
    <w:name w:val="标准书眉_偶数页"/>
    <w:basedOn w:val="46"/>
    <w:next w:val="1"/>
    <w:autoRedefine/>
    <w:qFormat/>
    <w:uiPriority w:val="0"/>
    <w:pPr>
      <w:jc w:val="left"/>
    </w:pPr>
  </w:style>
  <w:style w:type="paragraph" w:customStyle="1" w:styleId="72">
    <w:name w:val="标准书眉一"/>
    <w:autoRedefine/>
    <w:qFormat/>
    <w:uiPriority w:val="0"/>
    <w:pPr>
      <w:jc w:val="both"/>
    </w:pPr>
    <w:rPr>
      <w:rFonts w:ascii="Times New Roman" w:hAnsi="Times New Roman" w:eastAsia="宋体" w:cs="Times New Roman"/>
      <w:lang w:val="en-US" w:eastAsia="zh-CN" w:bidi="ar-SA"/>
    </w:rPr>
  </w:style>
  <w:style w:type="paragraph" w:customStyle="1" w:styleId="73">
    <w:name w:val="参考文献"/>
    <w:basedOn w:val="1"/>
    <w:next w:val="23"/>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74">
    <w:name w:val="参考文献、索引标题"/>
    <w:basedOn w:val="1"/>
    <w:next w:val="23"/>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5">
    <w:name w:val="发布"/>
    <w:autoRedefine/>
    <w:qFormat/>
    <w:uiPriority w:val="0"/>
    <w:rPr>
      <w:rFonts w:ascii="黑体" w:eastAsia="黑体"/>
      <w:spacing w:val="85"/>
      <w:w w:val="100"/>
      <w:position w:val="3"/>
      <w:sz w:val="28"/>
      <w:szCs w:val="28"/>
    </w:rPr>
  </w:style>
  <w:style w:type="paragraph" w:customStyle="1" w:styleId="76">
    <w:name w:val="发布部门"/>
    <w:next w:val="23"/>
    <w:autoRedefine/>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77">
    <w:name w:val="发布日期"/>
    <w:autoRedefine/>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78">
    <w:name w:val="封面标准代替信息"/>
    <w:autoRedefine/>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79">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0">
    <w:name w:val="封面标准名称"/>
    <w:autoRedefine/>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1">
    <w:name w:val="封面标准英文名称"/>
    <w:basedOn w:val="80"/>
    <w:autoRedefine/>
    <w:qFormat/>
    <w:uiPriority w:val="0"/>
    <w:pPr>
      <w:framePr w:wrap="around"/>
      <w:spacing w:before="370" w:line="400" w:lineRule="exact"/>
    </w:pPr>
    <w:rPr>
      <w:rFonts w:ascii="Times New Roman"/>
      <w:sz w:val="28"/>
      <w:szCs w:val="28"/>
    </w:rPr>
  </w:style>
  <w:style w:type="paragraph" w:customStyle="1" w:styleId="82">
    <w:name w:val="封面一致性程度标识"/>
    <w:basedOn w:val="81"/>
    <w:autoRedefine/>
    <w:qFormat/>
    <w:uiPriority w:val="0"/>
    <w:pPr>
      <w:framePr w:wrap="around"/>
      <w:spacing w:before="440"/>
    </w:pPr>
    <w:rPr>
      <w:rFonts w:ascii="宋体" w:eastAsia="宋体"/>
    </w:rPr>
  </w:style>
  <w:style w:type="paragraph" w:customStyle="1" w:styleId="83">
    <w:name w:val="封面标准文稿类别"/>
    <w:basedOn w:val="82"/>
    <w:autoRedefine/>
    <w:qFormat/>
    <w:uiPriority w:val="0"/>
    <w:pPr>
      <w:framePr w:wrap="around"/>
      <w:spacing w:after="160" w:line="240" w:lineRule="auto"/>
    </w:pPr>
    <w:rPr>
      <w:sz w:val="24"/>
    </w:rPr>
  </w:style>
  <w:style w:type="paragraph" w:customStyle="1" w:styleId="84">
    <w:name w:val="封面标准文稿编辑信息"/>
    <w:basedOn w:val="83"/>
    <w:autoRedefine/>
    <w:qFormat/>
    <w:uiPriority w:val="0"/>
    <w:pPr>
      <w:framePr w:wrap="around"/>
      <w:spacing w:before="180" w:line="180" w:lineRule="exact"/>
    </w:pPr>
    <w:rPr>
      <w:sz w:val="21"/>
    </w:rPr>
  </w:style>
  <w:style w:type="paragraph" w:customStyle="1" w:styleId="85">
    <w:name w:val="封面正文"/>
    <w:autoRedefine/>
    <w:qFormat/>
    <w:uiPriority w:val="0"/>
    <w:pPr>
      <w:jc w:val="both"/>
    </w:pPr>
    <w:rPr>
      <w:rFonts w:ascii="Times New Roman" w:hAnsi="Times New Roman" w:eastAsia="宋体" w:cs="Times New Roman"/>
      <w:lang w:val="en-US" w:eastAsia="zh-CN" w:bidi="ar-SA"/>
    </w:rPr>
  </w:style>
  <w:style w:type="paragraph" w:customStyle="1" w:styleId="86">
    <w:name w:val="附录标识"/>
    <w:basedOn w:val="1"/>
    <w:next w:val="23"/>
    <w:autoRedefine/>
    <w:qFormat/>
    <w:uiPriority w:val="0"/>
    <w:pPr>
      <w:keepNext/>
      <w:widowControl/>
      <w:numPr>
        <w:ilvl w:val="0"/>
        <w:numId w:val="11"/>
      </w:numPr>
      <w:shd w:val="clear" w:color="FFFFFF" w:fill="FFFFFF"/>
      <w:tabs>
        <w:tab w:val="left" w:pos="6405"/>
      </w:tabs>
      <w:spacing w:before="640" w:after="280"/>
      <w:jc w:val="center"/>
      <w:outlineLvl w:val="0"/>
    </w:pPr>
    <w:rPr>
      <w:rFonts w:ascii="黑体" w:eastAsia="黑体"/>
      <w:kern w:val="0"/>
      <w:szCs w:val="20"/>
    </w:rPr>
  </w:style>
  <w:style w:type="paragraph" w:customStyle="1" w:styleId="87">
    <w:name w:val="附录标题"/>
    <w:basedOn w:val="23"/>
    <w:next w:val="23"/>
    <w:autoRedefine/>
    <w:qFormat/>
    <w:uiPriority w:val="0"/>
    <w:pPr>
      <w:ind w:firstLine="0" w:firstLineChars="0"/>
      <w:jc w:val="center"/>
    </w:pPr>
    <w:rPr>
      <w:rFonts w:ascii="黑体" w:eastAsia="黑体"/>
    </w:rPr>
  </w:style>
  <w:style w:type="paragraph" w:customStyle="1" w:styleId="88">
    <w:name w:val="附录表标号"/>
    <w:basedOn w:val="1"/>
    <w:next w:val="23"/>
    <w:autoRedefine/>
    <w:qFormat/>
    <w:uiPriority w:val="0"/>
    <w:pPr>
      <w:numPr>
        <w:ilvl w:val="0"/>
        <w:numId w:val="12"/>
      </w:numPr>
      <w:tabs>
        <w:tab w:val="clear" w:pos="0"/>
      </w:tabs>
      <w:spacing w:line="14" w:lineRule="exact"/>
      <w:ind w:left="811" w:hanging="448"/>
      <w:jc w:val="center"/>
      <w:outlineLvl w:val="0"/>
    </w:pPr>
    <w:rPr>
      <w:color w:val="FFFFFF"/>
    </w:rPr>
  </w:style>
  <w:style w:type="paragraph" w:customStyle="1" w:styleId="89">
    <w:name w:val="附录表标题"/>
    <w:basedOn w:val="1"/>
    <w:next w:val="23"/>
    <w:autoRedefine/>
    <w:qFormat/>
    <w:uiPriority w:val="0"/>
    <w:pPr>
      <w:numPr>
        <w:ilvl w:val="1"/>
        <w:numId w:val="12"/>
      </w:numPr>
      <w:spacing w:beforeLines="50" w:afterLines="50"/>
      <w:jc w:val="center"/>
    </w:pPr>
    <w:rPr>
      <w:rFonts w:ascii="黑体" w:eastAsia="黑体"/>
      <w:szCs w:val="21"/>
    </w:rPr>
  </w:style>
  <w:style w:type="paragraph" w:customStyle="1" w:styleId="90">
    <w:name w:val="附录二级条标题"/>
    <w:basedOn w:val="1"/>
    <w:next w:val="23"/>
    <w:autoRedefine/>
    <w:qFormat/>
    <w:uiPriority w:val="0"/>
    <w:pPr>
      <w:widowControl/>
      <w:numPr>
        <w:ilvl w:val="3"/>
        <w:numId w:val="11"/>
      </w:numPr>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1">
    <w:name w:val="附录二级无"/>
    <w:basedOn w:val="90"/>
    <w:autoRedefine/>
    <w:qFormat/>
    <w:uiPriority w:val="0"/>
    <w:pPr>
      <w:spacing w:beforeLines="0" w:afterLines="0"/>
    </w:pPr>
    <w:rPr>
      <w:rFonts w:ascii="宋体" w:eastAsia="宋体"/>
      <w:szCs w:val="21"/>
    </w:rPr>
  </w:style>
  <w:style w:type="paragraph" w:customStyle="1" w:styleId="92">
    <w:name w:val="附录公式"/>
    <w:basedOn w:val="23"/>
    <w:next w:val="23"/>
    <w:link w:val="93"/>
    <w:autoRedefine/>
    <w:qFormat/>
    <w:uiPriority w:val="0"/>
  </w:style>
  <w:style w:type="character" w:customStyle="1" w:styleId="93">
    <w:name w:val="附录公式 Char"/>
    <w:basedOn w:val="43"/>
    <w:link w:val="92"/>
    <w:autoRedefine/>
    <w:qFormat/>
    <w:uiPriority w:val="0"/>
    <w:rPr>
      <w:rFonts w:ascii="宋体"/>
      <w:sz w:val="21"/>
      <w:lang w:val="en-US" w:eastAsia="zh-CN" w:bidi="ar-SA"/>
    </w:rPr>
  </w:style>
  <w:style w:type="paragraph" w:customStyle="1" w:styleId="94">
    <w:name w:val="附录公式编号制表符"/>
    <w:basedOn w:val="1"/>
    <w:next w:val="23"/>
    <w:autoRedefine/>
    <w:qFormat/>
    <w:uiPriority w:val="0"/>
    <w:pPr>
      <w:widowControl/>
      <w:tabs>
        <w:tab w:val="center" w:pos="4201"/>
        <w:tab w:val="right" w:leader="dot" w:pos="9298"/>
      </w:tabs>
      <w:autoSpaceDE w:val="0"/>
      <w:autoSpaceDN w:val="0"/>
    </w:pPr>
    <w:rPr>
      <w:rFonts w:ascii="宋体"/>
      <w:kern w:val="0"/>
      <w:szCs w:val="20"/>
    </w:rPr>
  </w:style>
  <w:style w:type="paragraph" w:customStyle="1" w:styleId="95">
    <w:name w:val="附录三级条标题"/>
    <w:basedOn w:val="90"/>
    <w:next w:val="23"/>
    <w:autoRedefine/>
    <w:qFormat/>
    <w:uiPriority w:val="0"/>
    <w:pPr>
      <w:numPr>
        <w:ilvl w:val="4"/>
      </w:numPr>
      <w:tabs>
        <w:tab w:val="left" w:pos="360"/>
      </w:tabs>
      <w:outlineLvl w:val="4"/>
    </w:pPr>
  </w:style>
  <w:style w:type="paragraph" w:customStyle="1" w:styleId="96">
    <w:name w:val="附录三级无"/>
    <w:basedOn w:val="95"/>
    <w:autoRedefine/>
    <w:qFormat/>
    <w:uiPriority w:val="0"/>
    <w:pPr>
      <w:tabs>
        <w:tab w:val="clear" w:pos="360"/>
      </w:tabs>
      <w:spacing w:beforeLines="0" w:afterLines="0"/>
    </w:pPr>
    <w:rPr>
      <w:rFonts w:ascii="宋体" w:eastAsia="宋体"/>
      <w:szCs w:val="21"/>
    </w:rPr>
  </w:style>
  <w:style w:type="paragraph" w:customStyle="1" w:styleId="97">
    <w:name w:val="附录数字编号列项（二级）"/>
    <w:autoRedefine/>
    <w:qFormat/>
    <w:uiPriority w:val="0"/>
    <w:pPr>
      <w:numPr>
        <w:ilvl w:val="1"/>
        <w:numId w:val="13"/>
      </w:numPr>
    </w:pPr>
    <w:rPr>
      <w:rFonts w:ascii="宋体" w:hAnsi="Times New Roman" w:eastAsia="宋体" w:cs="Times New Roman"/>
      <w:sz w:val="21"/>
      <w:lang w:val="en-US" w:eastAsia="zh-CN" w:bidi="ar-SA"/>
    </w:rPr>
  </w:style>
  <w:style w:type="paragraph" w:customStyle="1" w:styleId="98">
    <w:name w:val="附录四级条标题"/>
    <w:basedOn w:val="95"/>
    <w:next w:val="23"/>
    <w:autoRedefine/>
    <w:qFormat/>
    <w:uiPriority w:val="0"/>
    <w:pPr>
      <w:numPr>
        <w:ilvl w:val="5"/>
      </w:numPr>
      <w:outlineLvl w:val="5"/>
    </w:pPr>
  </w:style>
  <w:style w:type="paragraph" w:customStyle="1" w:styleId="99">
    <w:name w:val="附录四级无"/>
    <w:basedOn w:val="98"/>
    <w:autoRedefine/>
    <w:qFormat/>
    <w:uiPriority w:val="0"/>
    <w:pPr>
      <w:tabs>
        <w:tab w:val="clear" w:pos="360"/>
      </w:tabs>
      <w:spacing w:beforeLines="0" w:afterLines="0"/>
    </w:pPr>
    <w:rPr>
      <w:rFonts w:ascii="宋体" w:eastAsia="宋体"/>
      <w:szCs w:val="21"/>
    </w:rPr>
  </w:style>
  <w:style w:type="paragraph" w:customStyle="1" w:styleId="100">
    <w:name w:val="附录图标号"/>
    <w:basedOn w:val="1"/>
    <w:autoRedefine/>
    <w:qFormat/>
    <w:uiPriority w:val="0"/>
    <w:pPr>
      <w:keepNext/>
      <w:pageBreakBefore/>
      <w:widowControl/>
      <w:numPr>
        <w:ilvl w:val="0"/>
        <w:numId w:val="14"/>
      </w:numPr>
      <w:spacing w:line="14" w:lineRule="exact"/>
      <w:ind w:left="0" w:firstLine="363"/>
      <w:jc w:val="center"/>
      <w:outlineLvl w:val="0"/>
    </w:pPr>
    <w:rPr>
      <w:color w:val="FFFFFF"/>
    </w:rPr>
  </w:style>
  <w:style w:type="paragraph" w:customStyle="1" w:styleId="101">
    <w:name w:val="附录图标题"/>
    <w:basedOn w:val="1"/>
    <w:next w:val="23"/>
    <w:autoRedefine/>
    <w:qFormat/>
    <w:uiPriority w:val="0"/>
    <w:pPr>
      <w:numPr>
        <w:ilvl w:val="1"/>
        <w:numId w:val="14"/>
      </w:numPr>
      <w:tabs>
        <w:tab w:val="left" w:pos="363"/>
      </w:tabs>
      <w:spacing w:beforeLines="50" w:afterLines="50"/>
      <w:ind w:left="0" w:firstLine="0"/>
      <w:jc w:val="center"/>
    </w:pPr>
    <w:rPr>
      <w:rFonts w:ascii="黑体" w:eastAsia="黑体"/>
      <w:szCs w:val="21"/>
    </w:rPr>
  </w:style>
  <w:style w:type="paragraph" w:customStyle="1" w:styleId="102">
    <w:name w:val="附录五级条标题"/>
    <w:basedOn w:val="98"/>
    <w:next w:val="23"/>
    <w:autoRedefine/>
    <w:qFormat/>
    <w:uiPriority w:val="0"/>
    <w:pPr>
      <w:numPr>
        <w:ilvl w:val="6"/>
      </w:numPr>
      <w:outlineLvl w:val="6"/>
    </w:pPr>
  </w:style>
  <w:style w:type="paragraph" w:customStyle="1" w:styleId="103">
    <w:name w:val="附录五级无"/>
    <w:basedOn w:val="102"/>
    <w:autoRedefine/>
    <w:qFormat/>
    <w:uiPriority w:val="0"/>
    <w:pPr>
      <w:tabs>
        <w:tab w:val="clear" w:pos="360"/>
      </w:tabs>
      <w:spacing w:beforeLines="0" w:afterLines="0"/>
    </w:pPr>
    <w:rPr>
      <w:rFonts w:ascii="宋体" w:eastAsia="宋体"/>
      <w:szCs w:val="21"/>
    </w:rPr>
  </w:style>
  <w:style w:type="paragraph" w:customStyle="1" w:styleId="104">
    <w:name w:val="附录章标题"/>
    <w:next w:val="23"/>
    <w:autoRedefine/>
    <w:qFormat/>
    <w:uiPriority w:val="0"/>
    <w:pPr>
      <w:numPr>
        <w:ilvl w:val="1"/>
        <w:numId w:val="11"/>
      </w:numPr>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5">
    <w:name w:val="附录一级条标题"/>
    <w:basedOn w:val="104"/>
    <w:next w:val="23"/>
    <w:autoRedefine/>
    <w:qFormat/>
    <w:uiPriority w:val="0"/>
    <w:pPr>
      <w:numPr>
        <w:ilvl w:val="2"/>
      </w:numPr>
      <w:tabs>
        <w:tab w:val="left" w:pos="360"/>
      </w:tabs>
      <w:autoSpaceDN w:val="0"/>
      <w:spacing w:beforeLines="50" w:afterLines="50"/>
      <w:outlineLvl w:val="2"/>
    </w:pPr>
  </w:style>
  <w:style w:type="paragraph" w:customStyle="1" w:styleId="106">
    <w:name w:val="附录一级无"/>
    <w:basedOn w:val="105"/>
    <w:autoRedefine/>
    <w:qFormat/>
    <w:uiPriority w:val="0"/>
    <w:pPr>
      <w:tabs>
        <w:tab w:val="clear" w:pos="360"/>
      </w:tabs>
      <w:spacing w:beforeLines="0" w:afterLines="0"/>
    </w:pPr>
    <w:rPr>
      <w:rFonts w:ascii="宋体" w:eastAsia="宋体"/>
      <w:szCs w:val="21"/>
    </w:rPr>
  </w:style>
  <w:style w:type="paragraph" w:customStyle="1" w:styleId="107">
    <w:name w:val="附录字母编号列项（一级）"/>
    <w:autoRedefine/>
    <w:qFormat/>
    <w:uiPriority w:val="0"/>
    <w:pPr>
      <w:numPr>
        <w:ilvl w:val="0"/>
        <w:numId w:val="13"/>
      </w:numPr>
    </w:pPr>
    <w:rPr>
      <w:rFonts w:ascii="宋体" w:hAnsi="Times New Roman" w:eastAsia="宋体" w:cs="Times New Roman"/>
      <w:sz w:val="21"/>
      <w:lang w:val="en-US" w:eastAsia="zh-CN" w:bidi="ar-SA"/>
    </w:rPr>
  </w:style>
  <w:style w:type="paragraph" w:customStyle="1" w:styleId="108">
    <w:name w:val="列项说明"/>
    <w:basedOn w:val="1"/>
    <w:autoRedefine/>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09">
    <w:name w:val="列项说明数字编号"/>
    <w:autoRedefine/>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10">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11">
    <w:name w:val="其他标准标志"/>
    <w:basedOn w:val="68"/>
    <w:autoRedefine/>
    <w:qFormat/>
    <w:uiPriority w:val="0"/>
    <w:pPr>
      <w:framePr w:w="6101" w:wrap="around" w:vAnchor="page" w:hAnchor="page" w:x="4673" w:y="942"/>
    </w:pPr>
    <w:rPr>
      <w:w w:val="130"/>
    </w:rPr>
  </w:style>
  <w:style w:type="paragraph" w:customStyle="1" w:styleId="112">
    <w:name w:val="其他标准称谓"/>
    <w:next w:val="1"/>
    <w:autoRedefine/>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13">
    <w:name w:val="其他发布部门"/>
    <w:basedOn w:val="76"/>
    <w:autoRedefine/>
    <w:qFormat/>
    <w:uiPriority w:val="0"/>
    <w:pPr>
      <w:framePr w:wrap="around" w:y="15310"/>
      <w:spacing w:line="0" w:lineRule="atLeast"/>
    </w:pPr>
    <w:rPr>
      <w:rFonts w:ascii="黑体" w:eastAsia="黑体"/>
      <w:b w:val="0"/>
    </w:rPr>
  </w:style>
  <w:style w:type="paragraph" w:customStyle="1" w:styleId="114">
    <w:name w:val="前言、引言标题"/>
    <w:next w:val="23"/>
    <w:autoRedefine/>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5">
    <w:name w:val="三级无"/>
    <w:basedOn w:val="53"/>
    <w:autoRedefine/>
    <w:qFormat/>
    <w:uiPriority w:val="0"/>
    <w:pPr>
      <w:spacing w:beforeLines="0" w:afterLines="0"/>
    </w:pPr>
    <w:rPr>
      <w:rFonts w:ascii="宋体" w:eastAsia="宋体"/>
    </w:rPr>
  </w:style>
  <w:style w:type="paragraph" w:customStyle="1" w:styleId="116">
    <w:name w:val="实施日期"/>
    <w:autoRedefine/>
    <w:qFormat/>
    <w:uiPriority w:val="0"/>
    <w:pPr>
      <w:framePr w:w="3997" w:h="471" w:hRule="exact" w:vSpace="181" w:wrap="around" w:vAnchor="page" w:hAnchor="page" w:x="7089" w:y="14097"/>
      <w:jc w:val="right"/>
    </w:pPr>
    <w:rPr>
      <w:rFonts w:ascii="Times New Roman" w:hAnsi="Times New Roman" w:eastAsia="黑体" w:cs="Times New Roman"/>
      <w:sz w:val="28"/>
      <w:lang w:val="en-US" w:eastAsia="zh-CN" w:bidi="ar-SA"/>
    </w:rPr>
  </w:style>
  <w:style w:type="paragraph" w:customStyle="1" w:styleId="117">
    <w:name w:val="示例后文字"/>
    <w:basedOn w:val="23"/>
    <w:next w:val="23"/>
    <w:autoRedefine/>
    <w:qFormat/>
    <w:uiPriority w:val="0"/>
    <w:pPr>
      <w:ind w:firstLine="360"/>
    </w:pPr>
    <w:rPr>
      <w:sz w:val="18"/>
    </w:rPr>
  </w:style>
  <w:style w:type="paragraph" w:customStyle="1" w:styleId="118">
    <w:name w:val="首示例"/>
    <w:next w:val="23"/>
    <w:link w:val="119"/>
    <w:autoRedefine/>
    <w:qFormat/>
    <w:uiPriority w:val="0"/>
    <w:pPr>
      <w:tabs>
        <w:tab w:val="left" w:pos="360"/>
      </w:tabs>
    </w:pPr>
    <w:rPr>
      <w:rFonts w:ascii="宋体" w:hAnsi="宋体" w:eastAsia="宋体" w:cs="Times New Roman"/>
      <w:kern w:val="2"/>
      <w:sz w:val="18"/>
      <w:szCs w:val="18"/>
      <w:lang w:val="en-US" w:eastAsia="zh-CN" w:bidi="ar-SA"/>
    </w:rPr>
  </w:style>
  <w:style w:type="character" w:customStyle="1" w:styleId="119">
    <w:name w:val="首示例 Char"/>
    <w:link w:val="118"/>
    <w:autoRedefine/>
    <w:qFormat/>
    <w:uiPriority w:val="0"/>
    <w:rPr>
      <w:rFonts w:ascii="宋体" w:hAnsi="宋体"/>
      <w:kern w:val="2"/>
      <w:sz w:val="18"/>
      <w:szCs w:val="18"/>
    </w:rPr>
  </w:style>
  <w:style w:type="paragraph" w:customStyle="1" w:styleId="120">
    <w:name w:val="四级无"/>
    <w:basedOn w:val="57"/>
    <w:autoRedefine/>
    <w:qFormat/>
    <w:uiPriority w:val="0"/>
    <w:pPr>
      <w:spacing w:beforeLines="0" w:afterLines="0"/>
    </w:pPr>
    <w:rPr>
      <w:rFonts w:ascii="宋体" w:eastAsia="宋体"/>
    </w:rPr>
  </w:style>
  <w:style w:type="paragraph" w:customStyle="1" w:styleId="121">
    <w:name w:val="条文脚注"/>
    <w:basedOn w:val="24"/>
    <w:autoRedefine/>
    <w:qFormat/>
    <w:uiPriority w:val="0"/>
    <w:pPr>
      <w:numPr>
        <w:numId w:val="0"/>
      </w:numPr>
      <w:jc w:val="both"/>
    </w:pPr>
  </w:style>
  <w:style w:type="paragraph" w:customStyle="1" w:styleId="122">
    <w:name w:val="图标脚注说明"/>
    <w:basedOn w:val="23"/>
    <w:autoRedefine/>
    <w:qFormat/>
    <w:uiPriority w:val="0"/>
    <w:pPr>
      <w:ind w:left="840" w:hanging="420" w:firstLineChars="0"/>
    </w:pPr>
    <w:rPr>
      <w:sz w:val="18"/>
      <w:szCs w:val="18"/>
    </w:rPr>
  </w:style>
  <w:style w:type="paragraph" w:customStyle="1" w:styleId="123">
    <w:name w:val="图表脚注说明"/>
    <w:basedOn w:val="1"/>
    <w:autoRedefine/>
    <w:qFormat/>
    <w:uiPriority w:val="0"/>
    <w:pPr>
      <w:numPr>
        <w:ilvl w:val="0"/>
        <w:numId w:val="15"/>
      </w:numPr>
    </w:pPr>
    <w:rPr>
      <w:rFonts w:ascii="宋体"/>
      <w:sz w:val="18"/>
      <w:szCs w:val="18"/>
    </w:rPr>
  </w:style>
  <w:style w:type="paragraph" w:customStyle="1" w:styleId="124">
    <w:name w:val="图的脚注"/>
    <w:next w:val="23"/>
    <w:autoRedefine/>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5">
    <w:name w:val="文献分类号"/>
    <w:autoRedefine/>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6">
    <w:name w:val="五级无"/>
    <w:basedOn w:val="58"/>
    <w:autoRedefine/>
    <w:qFormat/>
    <w:uiPriority w:val="0"/>
    <w:pPr>
      <w:spacing w:beforeLines="0" w:afterLines="0"/>
    </w:pPr>
    <w:rPr>
      <w:rFonts w:ascii="宋体" w:eastAsia="宋体"/>
    </w:rPr>
  </w:style>
  <w:style w:type="paragraph" w:customStyle="1" w:styleId="127">
    <w:name w:val="一级无"/>
    <w:basedOn w:val="44"/>
    <w:autoRedefine/>
    <w:qFormat/>
    <w:uiPriority w:val="0"/>
    <w:pPr>
      <w:spacing w:beforeLines="0" w:afterLines="0"/>
    </w:pPr>
    <w:rPr>
      <w:rFonts w:ascii="宋体" w:eastAsia="宋体"/>
    </w:rPr>
  </w:style>
  <w:style w:type="paragraph" w:customStyle="1" w:styleId="128">
    <w:name w:val="正文表标题"/>
    <w:next w:val="23"/>
    <w:autoRedefine/>
    <w:qFormat/>
    <w:uiPriority w:val="0"/>
    <w:pPr>
      <w:numPr>
        <w:ilvl w:val="0"/>
        <w:numId w:val="16"/>
      </w:numPr>
      <w:spacing w:beforeLines="50" w:afterLines="50"/>
      <w:jc w:val="center"/>
    </w:pPr>
    <w:rPr>
      <w:rFonts w:ascii="黑体" w:hAnsi="Times New Roman" w:eastAsia="黑体" w:cs="Times New Roman"/>
      <w:sz w:val="21"/>
      <w:lang w:val="en-US" w:eastAsia="zh-CN" w:bidi="ar-SA"/>
    </w:rPr>
  </w:style>
  <w:style w:type="paragraph" w:customStyle="1" w:styleId="129">
    <w:name w:val="正文公式编号制表符"/>
    <w:basedOn w:val="23"/>
    <w:next w:val="23"/>
    <w:autoRedefine/>
    <w:qFormat/>
    <w:uiPriority w:val="0"/>
    <w:pPr>
      <w:ind w:firstLine="0" w:firstLineChars="0"/>
    </w:pPr>
  </w:style>
  <w:style w:type="paragraph" w:customStyle="1" w:styleId="130">
    <w:name w:val="正文图标题"/>
    <w:next w:val="23"/>
    <w:autoRedefine/>
    <w:qFormat/>
    <w:uiPriority w:val="0"/>
    <w:pPr>
      <w:numPr>
        <w:ilvl w:val="0"/>
        <w:numId w:val="17"/>
      </w:numPr>
      <w:spacing w:beforeLines="50" w:afterLines="50"/>
      <w:jc w:val="center"/>
    </w:pPr>
    <w:rPr>
      <w:rFonts w:ascii="黑体" w:hAnsi="Times New Roman" w:eastAsia="黑体" w:cs="Times New Roman"/>
      <w:sz w:val="21"/>
      <w:lang w:val="en-US" w:eastAsia="zh-CN" w:bidi="ar-SA"/>
    </w:rPr>
  </w:style>
  <w:style w:type="paragraph" w:customStyle="1" w:styleId="131">
    <w:name w:val="终结线"/>
    <w:basedOn w:val="1"/>
    <w:autoRedefine/>
    <w:qFormat/>
    <w:uiPriority w:val="0"/>
    <w:pPr>
      <w:framePr w:hSpace="181" w:vSpace="181" w:wrap="around" w:vAnchor="text" w:hAnchor="margin" w:xAlign="center" w:y="285"/>
    </w:pPr>
  </w:style>
  <w:style w:type="paragraph" w:customStyle="1" w:styleId="132">
    <w:name w:val="其他发布日期"/>
    <w:autoRedefine/>
    <w:qFormat/>
    <w:uiPriority w:val="0"/>
    <w:pPr>
      <w:framePr w:w="3997" w:h="471" w:hRule="exact" w:vSpace="181" w:wrap="around" w:vAnchor="page" w:hAnchor="page" w:x="1419" w:y="14097" w:anchorLock="1"/>
    </w:pPr>
    <w:rPr>
      <w:rFonts w:ascii="Times New Roman" w:hAnsi="Times New Roman" w:eastAsia="黑体" w:cs="Times New Roman"/>
      <w:sz w:val="28"/>
      <w:lang w:val="en-US" w:eastAsia="zh-CN" w:bidi="ar-SA"/>
    </w:rPr>
  </w:style>
  <w:style w:type="paragraph" w:customStyle="1" w:styleId="133">
    <w:name w:val="其他实施日期"/>
    <w:basedOn w:val="116"/>
    <w:autoRedefine/>
    <w:qFormat/>
    <w:uiPriority w:val="0"/>
    <w:pPr>
      <w:framePr w:wrap="around"/>
    </w:pPr>
  </w:style>
  <w:style w:type="paragraph" w:customStyle="1" w:styleId="134">
    <w:name w:val="封面标准名称2"/>
    <w:basedOn w:val="80"/>
    <w:autoRedefine/>
    <w:qFormat/>
    <w:uiPriority w:val="0"/>
    <w:pPr>
      <w:framePr w:wrap="around" w:y="4469"/>
      <w:spacing w:beforeLines="630"/>
    </w:pPr>
  </w:style>
  <w:style w:type="paragraph" w:customStyle="1" w:styleId="135">
    <w:name w:val="封面标准英文名称2"/>
    <w:basedOn w:val="81"/>
    <w:autoRedefine/>
    <w:qFormat/>
    <w:uiPriority w:val="0"/>
    <w:pPr>
      <w:framePr w:wrap="around" w:y="4469"/>
    </w:pPr>
  </w:style>
  <w:style w:type="paragraph" w:customStyle="1" w:styleId="136">
    <w:name w:val="封面一致性程度标识2"/>
    <w:basedOn w:val="82"/>
    <w:autoRedefine/>
    <w:qFormat/>
    <w:uiPriority w:val="0"/>
    <w:pPr>
      <w:framePr w:wrap="around" w:y="4469"/>
    </w:pPr>
  </w:style>
  <w:style w:type="paragraph" w:customStyle="1" w:styleId="137">
    <w:name w:val="封面标准文稿类别2"/>
    <w:basedOn w:val="83"/>
    <w:autoRedefine/>
    <w:qFormat/>
    <w:uiPriority w:val="0"/>
    <w:pPr>
      <w:framePr w:wrap="around" w:y="4469"/>
    </w:pPr>
  </w:style>
  <w:style w:type="paragraph" w:customStyle="1" w:styleId="138">
    <w:name w:val="封面标准文稿编辑信息2"/>
    <w:basedOn w:val="84"/>
    <w:autoRedefine/>
    <w:qFormat/>
    <w:uiPriority w:val="0"/>
    <w:pPr>
      <w:framePr w:wrap="around" w:y="4469"/>
    </w:pPr>
  </w:style>
  <w:style w:type="paragraph" w:customStyle="1" w:styleId="139">
    <w:name w:val="标准名称"/>
    <w:basedOn w:val="52"/>
    <w:link w:val="142"/>
    <w:autoRedefine/>
    <w:qFormat/>
    <w:uiPriority w:val="0"/>
  </w:style>
  <w:style w:type="character" w:styleId="140">
    <w:name w:val="Placeholder Text"/>
    <w:basedOn w:val="36"/>
    <w:autoRedefine/>
    <w:semiHidden/>
    <w:qFormat/>
    <w:uiPriority w:val="99"/>
    <w:rPr>
      <w:color w:val="808080"/>
    </w:rPr>
  </w:style>
  <w:style w:type="character" w:customStyle="1" w:styleId="141">
    <w:name w:val="目次、标准名称标题 Char"/>
    <w:basedOn w:val="36"/>
    <w:link w:val="52"/>
    <w:autoRedefine/>
    <w:qFormat/>
    <w:uiPriority w:val="0"/>
    <w:rPr>
      <w:rFonts w:ascii="黑体" w:eastAsia="黑体"/>
      <w:sz w:val="32"/>
      <w:shd w:val="clear" w:color="FFFFFF" w:fill="FFFFFF"/>
    </w:rPr>
  </w:style>
  <w:style w:type="character" w:customStyle="1" w:styleId="142">
    <w:name w:val="标准名称 Char"/>
    <w:basedOn w:val="141"/>
    <w:link w:val="139"/>
    <w:autoRedefine/>
    <w:qFormat/>
    <w:uiPriority w:val="0"/>
    <w:rPr>
      <w:rFonts w:ascii="黑体" w:eastAsia="黑体"/>
      <w:sz w:val="32"/>
      <w:shd w:val="clear" w:color="FFFFFF" w:fill="FFFFFF"/>
    </w:rPr>
  </w:style>
  <w:style w:type="character" w:customStyle="1" w:styleId="143">
    <w:name w:val="批注框文本 字符"/>
    <w:basedOn w:val="36"/>
    <w:link w:val="16"/>
    <w:autoRedefine/>
    <w:qFormat/>
    <w:uiPriority w:val="0"/>
    <w:rPr>
      <w:kern w:val="2"/>
      <w:sz w:val="18"/>
      <w:szCs w:val="18"/>
    </w:rPr>
  </w:style>
  <w:style w:type="paragraph" w:customStyle="1" w:styleId="144">
    <w:name w:val="标准文件_二级条标题"/>
    <w:next w:val="1"/>
    <w:autoRedefine/>
    <w:qFormat/>
    <w:uiPriority w:val="0"/>
    <w:pPr>
      <w:widowControl w:val="0"/>
      <w:numPr>
        <w:ilvl w:val="3"/>
        <w:numId w:val="18"/>
      </w:numPr>
      <w:spacing w:beforeLines="50" w:afterLines="50"/>
      <w:jc w:val="both"/>
      <w:outlineLvl w:val="2"/>
    </w:pPr>
    <w:rPr>
      <w:rFonts w:ascii="黑体" w:hAnsi="Times New Roman" w:eastAsia="黑体" w:cs="Times New Roman"/>
      <w:sz w:val="21"/>
      <w:lang w:val="en-US" w:eastAsia="zh-CN" w:bidi="ar-SA"/>
    </w:rPr>
  </w:style>
  <w:style w:type="paragraph" w:customStyle="1" w:styleId="145">
    <w:name w:val="标准文件_三级条标题"/>
    <w:basedOn w:val="144"/>
    <w:next w:val="1"/>
    <w:autoRedefine/>
    <w:qFormat/>
    <w:uiPriority w:val="0"/>
    <w:pPr>
      <w:widowControl/>
      <w:numPr>
        <w:ilvl w:val="4"/>
      </w:numPr>
      <w:outlineLvl w:val="3"/>
    </w:pPr>
  </w:style>
  <w:style w:type="paragraph" w:customStyle="1" w:styleId="146">
    <w:name w:val="标准文件_四级条标题"/>
    <w:next w:val="1"/>
    <w:autoRedefine/>
    <w:qFormat/>
    <w:uiPriority w:val="0"/>
    <w:pPr>
      <w:widowControl w:val="0"/>
      <w:numPr>
        <w:ilvl w:val="5"/>
        <w:numId w:val="18"/>
      </w:numPr>
      <w:spacing w:beforeLines="50" w:afterLines="50"/>
      <w:jc w:val="both"/>
      <w:outlineLvl w:val="4"/>
    </w:pPr>
    <w:rPr>
      <w:rFonts w:ascii="黑体" w:hAnsi="Times New Roman" w:eastAsia="黑体" w:cs="Times New Roman"/>
      <w:sz w:val="21"/>
      <w:lang w:val="en-US" w:eastAsia="zh-CN" w:bidi="ar-SA"/>
    </w:rPr>
  </w:style>
  <w:style w:type="paragraph" w:customStyle="1" w:styleId="147">
    <w:name w:val="标准文件_五级条标题"/>
    <w:next w:val="1"/>
    <w:autoRedefine/>
    <w:qFormat/>
    <w:uiPriority w:val="0"/>
    <w:pPr>
      <w:widowControl w:val="0"/>
      <w:numPr>
        <w:ilvl w:val="6"/>
        <w:numId w:val="18"/>
      </w:numPr>
      <w:spacing w:beforeLines="50" w:afterLines="50"/>
      <w:jc w:val="both"/>
      <w:outlineLvl w:val="5"/>
    </w:pPr>
    <w:rPr>
      <w:rFonts w:ascii="黑体" w:hAnsi="Times New Roman" w:eastAsia="黑体" w:cs="Times New Roman"/>
      <w:sz w:val="21"/>
      <w:lang w:val="en-US" w:eastAsia="zh-CN" w:bidi="ar-SA"/>
    </w:rPr>
  </w:style>
  <w:style w:type="paragraph" w:customStyle="1" w:styleId="148">
    <w:name w:val="标准文件_章标题"/>
    <w:next w:val="1"/>
    <w:autoRedefine/>
    <w:qFormat/>
    <w:uiPriority w:val="0"/>
    <w:pPr>
      <w:numPr>
        <w:ilvl w:val="1"/>
        <w:numId w:val="18"/>
      </w:numPr>
      <w:spacing w:beforeLines="100" w:afterLines="100"/>
      <w:jc w:val="both"/>
      <w:outlineLvl w:val="0"/>
    </w:pPr>
    <w:rPr>
      <w:rFonts w:ascii="黑体" w:hAnsi="Times New Roman" w:eastAsia="黑体" w:cs="Times New Roman"/>
      <w:sz w:val="21"/>
      <w:lang w:val="en-US" w:eastAsia="zh-CN" w:bidi="ar-SA"/>
    </w:rPr>
  </w:style>
  <w:style w:type="paragraph" w:customStyle="1" w:styleId="149">
    <w:name w:val="标准文件_一级条标题"/>
    <w:basedOn w:val="148"/>
    <w:next w:val="1"/>
    <w:autoRedefine/>
    <w:qFormat/>
    <w:uiPriority w:val="0"/>
    <w:pPr>
      <w:numPr>
        <w:ilvl w:val="2"/>
      </w:numPr>
      <w:spacing w:beforeLines="50" w:afterLines="50"/>
      <w:outlineLvl w:val="1"/>
    </w:pPr>
  </w:style>
  <w:style w:type="paragraph" w:customStyle="1" w:styleId="150">
    <w:name w:val="前言标题"/>
    <w:next w:val="1"/>
    <w:autoRedefine/>
    <w:qFormat/>
    <w:uiPriority w:val="0"/>
    <w:pPr>
      <w:numPr>
        <w:ilvl w:val="0"/>
        <w:numId w:val="18"/>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1">
    <w:name w:val="标准文件_一级无标题"/>
    <w:basedOn w:val="149"/>
    <w:autoRedefine/>
    <w:qFormat/>
    <w:uiPriority w:val="0"/>
    <w:pPr>
      <w:spacing w:beforeLines="0" w:afterLines="0"/>
      <w:outlineLvl w:val="9"/>
    </w:pPr>
    <w:rPr>
      <w:rFonts w:ascii="宋体" w:eastAsia="宋体"/>
    </w:rPr>
  </w:style>
  <w:style w:type="paragraph" w:customStyle="1" w:styleId="152">
    <w:name w:val="标准文件_段"/>
    <w:link w:val="154"/>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53">
    <w:name w:val="标准文件_附录表标题"/>
    <w:next w:val="152"/>
    <w:autoRedefine/>
    <w:qFormat/>
    <w:uiPriority w:val="0"/>
    <w:pPr>
      <w:numPr>
        <w:ilvl w:val="1"/>
        <w:numId w:val="19"/>
      </w:numPr>
      <w:adjustRightInd w:val="0"/>
      <w:snapToGrid w:val="0"/>
      <w:spacing w:beforeLines="50" w:afterLines="50"/>
      <w:ind w:left="4679" w:firstLine="420"/>
      <w:jc w:val="center"/>
      <w:textAlignment w:val="baseline"/>
    </w:pPr>
    <w:rPr>
      <w:rFonts w:ascii="黑体" w:hAnsi="Times New Roman" w:eastAsia="黑体" w:cs="Times New Roman"/>
      <w:kern w:val="21"/>
      <w:sz w:val="21"/>
      <w:lang w:val="en-US" w:eastAsia="zh-CN" w:bidi="ar-SA"/>
    </w:rPr>
  </w:style>
  <w:style w:type="character" w:customStyle="1" w:styleId="154">
    <w:name w:val="标准文件_段 Char"/>
    <w:link w:val="152"/>
    <w:autoRedefine/>
    <w:qFormat/>
    <w:uiPriority w:val="0"/>
    <w:rPr>
      <w:rFonts w:ascii="宋体"/>
      <w:sz w:val="21"/>
    </w:rPr>
  </w:style>
  <w:style w:type="paragraph" w:customStyle="1" w:styleId="155">
    <w:name w:val="标准文件_附录表标号"/>
    <w:basedOn w:val="152"/>
    <w:next w:val="152"/>
    <w:autoRedefine/>
    <w:qFormat/>
    <w:uiPriority w:val="0"/>
    <w:pPr>
      <w:numPr>
        <w:ilvl w:val="0"/>
        <w:numId w:val="19"/>
      </w:numPr>
      <w:spacing w:line="14" w:lineRule="exact"/>
      <w:ind w:left="0" w:firstLine="0" w:firstLineChars="0"/>
      <w:jc w:val="center"/>
    </w:pPr>
    <w:rPr>
      <w:rFonts w:eastAsia="黑体"/>
      <w:vanish/>
      <w:sz w:val="2"/>
    </w:rPr>
  </w:style>
  <w:style w:type="table" w:customStyle="1" w:styleId="156">
    <w:name w:val="Table Normal"/>
    <w:autoRedefine/>
    <w:semiHidden/>
    <w:unhideWhenUsed/>
    <w:qFormat/>
    <w:uiPriority w:val="0"/>
    <w:tblPr>
      <w:tblCellMar>
        <w:top w:w="0" w:type="dxa"/>
        <w:left w:w="0" w:type="dxa"/>
        <w:bottom w:w="0" w:type="dxa"/>
        <w:right w:w="0" w:type="dxa"/>
      </w:tblCellMar>
    </w:tblPr>
  </w:style>
  <w:style w:type="character" w:customStyle="1" w:styleId="157">
    <w:name w:val="批注文字 字符"/>
    <w:basedOn w:val="36"/>
    <w:link w:val="8"/>
    <w:qFormat/>
    <w:uiPriority w:val="0"/>
    <w:rPr>
      <w:kern w:val="2"/>
      <w:sz w:val="21"/>
      <w:szCs w:val="24"/>
    </w:rPr>
  </w:style>
  <w:style w:type="character" w:customStyle="1" w:styleId="158">
    <w:name w:val="批注主题 字符"/>
    <w:basedOn w:val="157"/>
    <w:link w:val="33"/>
    <w:semiHidden/>
    <w:qFormat/>
    <w:uiPriority w:val="0"/>
    <w:rPr>
      <w:b/>
      <w:bCs/>
      <w:kern w:val="2"/>
      <w:sz w:val="21"/>
      <w:szCs w:val="24"/>
    </w:rPr>
  </w:style>
  <w:style w:type="paragraph" w:customStyle="1" w:styleId="159">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160">
    <w:name w:val="正文文本 Char"/>
    <w:link w:val="2"/>
    <w:uiPriority w:val="0"/>
    <w:rPr>
      <w:color w:val="003366"/>
      <w:kern w:val="10"/>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glossaryDocument" Target="glossary/document.xml"/><Relationship Id="rId20" Type="http://schemas.openxmlformats.org/officeDocument/2006/relationships/fontTable" Target="fontTable.xml"/><Relationship Id="rId2" Type="http://schemas.openxmlformats.org/officeDocument/2006/relationships/settings" Target="settings.xml"/><Relationship Id="rId19" Type="http://schemas.microsoft.com/office/2006/relationships/keyMapCustomizations" Target="customizations.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11"/>
        <w:style w:val=""/>
        <w:category>
          <w:name w:val="常规"/>
          <w:gallery w:val="placeholder"/>
        </w:category>
        <w:types>
          <w:type w:val="bbPlcHdr"/>
        </w:types>
        <w:behaviors>
          <w:behavior w:val="content"/>
        </w:behaviors>
        <w:description w:val=""/>
        <w:guid w:val="{028989F2-0355-49D4-BDA6-4D56B5D374C0}"/>
      </w:docPartPr>
      <w:docPartBody>
        <w:p w14:paraId="1CAA7D7E">
          <w:pPr>
            <w:pStyle w:val="5"/>
          </w:pPr>
          <w:r>
            <w:rPr>
              <w:rStyle w:val="4"/>
              <w:rFonts w:hint="eastAsia"/>
            </w:rPr>
            <w:t>标准名称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13A"/>
    <w:rsid w:val="0002647A"/>
    <w:rsid w:val="0002653F"/>
    <w:rsid w:val="00080DE3"/>
    <w:rsid w:val="00087E40"/>
    <w:rsid w:val="000A5816"/>
    <w:rsid w:val="000C73CF"/>
    <w:rsid w:val="001132F9"/>
    <w:rsid w:val="00114ABC"/>
    <w:rsid w:val="001C16E0"/>
    <w:rsid w:val="002068C7"/>
    <w:rsid w:val="00270112"/>
    <w:rsid w:val="00323E80"/>
    <w:rsid w:val="003372E5"/>
    <w:rsid w:val="003750AF"/>
    <w:rsid w:val="00430F92"/>
    <w:rsid w:val="004973D7"/>
    <w:rsid w:val="004F113A"/>
    <w:rsid w:val="004F1EC5"/>
    <w:rsid w:val="00515A81"/>
    <w:rsid w:val="005335DD"/>
    <w:rsid w:val="00595E09"/>
    <w:rsid w:val="006346C1"/>
    <w:rsid w:val="00674FBA"/>
    <w:rsid w:val="006D02E4"/>
    <w:rsid w:val="007216E9"/>
    <w:rsid w:val="007C6ACB"/>
    <w:rsid w:val="007E2797"/>
    <w:rsid w:val="00800293"/>
    <w:rsid w:val="00820E7E"/>
    <w:rsid w:val="008E024D"/>
    <w:rsid w:val="008E17F7"/>
    <w:rsid w:val="008F0268"/>
    <w:rsid w:val="00902EF8"/>
    <w:rsid w:val="00982DAC"/>
    <w:rsid w:val="009B16B1"/>
    <w:rsid w:val="00A0227C"/>
    <w:rsid w:val="00A94E45"/>
    <w:rsid w:val="00AD6808"/>
    <w:rsid w:val="00B717AC"/>
    <w:rsid w:val="00BC67AA"/>
    <w:rsid w:val="00C875D2"/>
    <w:rsid w:val="00CB0B2B"/>
    <w:rsid w:val="00D4454B"/>
    <w:rsid w:val="00D65DD7"/>
    <w:rsid w:val="00D67952"/>
    <w:rsid w:val="00D73BBC"/>
    <w:rsid w:val="00DA4409"/>
    <w:rsid w:val="00E95A08"/>
    <w:rsid w:val="00EA15BD"/>
    <w:rsid w:val="00EA32AC"/>
    <w:rsid w:val="00F93653"/>
    <w:rsid w:val="00FD153B"/>
    <w:rsid w:val="00FF0B73"/>
    <w:rsid w:val="00FF0E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autoRedefine/>
    <w:qFormat/>
    <w:uiPriority w:val="0"/>
    <w:pPr>
      <w:widowControl w:val="0"/>
      <w:jc w:val="both"/>
    </w:pPr>
    <w:rPr>
      <w:rFonts w:cs="Times New Roman" w:asciiTheme="minorHAnsi" w:hAnsiTheme="minorHAnsi" w:eastAsiaTheme="minorEastAsia"/>
      <w:kern w:val="2"/>
      <w:sz w:val="3276"/>
      <w:szCs w:val="3276"/>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1112"/>
    <w:qFormat/>
    <w:uiPriority w:val="0"/>
    <w:pPr>
      <w:keepNext/>
      <w:pageBreakBefore/>
      <w:shd w:val="clear" w:color="FFFFFF" w:fill="FFFFFF"/>
      <w:spacing w:before="640" w:after="560" w:line="460" w:lineRule="exact"/>
      <w:jc w:val="center"/>
      <w:outlineLvl w:val="0"/>
    </w:pPr>
    <w:rPr>
      <w:rFonts w:ascii="黑体" w:hAnsi="Times New Roman" w:eastAsia="黑体" w:cs="Times New Roman"/>
      <w:sz w:val="3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FAFDEA-D53E-4B2F-89C2-C9424293C449}">
  <ds:schemaRefs/>
</ds:datastoreItem>
</file>

<file path=docProps/app.xml><?xml version="1.0" encoding="utf-8"?>
<Properties xmlns="http://schemas.openxmlformats.org/officeDocument/2006/extended-properties" xmlns:vt="http://schemas.openxmlformats.org/officeDocument/2006/docPropsVTypes">
  <Template>Normal</Template>
  <Company>zle</Company>
  <Pages>24</Pages>
  <Words>9701</Words>
  <Characters>13652</Characters>
  <Lines>120</Lines>
  <Paragraphs>33</Paragraphs>
  <TotalTime>8</TotalTime>
  <ScaleCrop>false</ScaleCrop>
  <LinksUpToDate>false</LinksUpToDate>
  <CharactersWithSpaces>14078</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2024-04-15T14:11:00Z</dcterms:created>
  <dc:creator>CNIS</dc:creator>
  <cp:lastModifiedBy>委员会</cp:lastModifiedBy>
  <cp:lastPrinted>2024-08-15T07:18:32Z</cp:lastPrinted>
  <dcterms:modified xsi:type="dcterms:W3CDTF">2024-08-15T07:22:21Z</dcterms:modified>
  <dc:title>标准名称</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F7E6860712DD4A76865F6F6F2A538F8F_13</vt:lpwstr>
  </property>
</Properties>
</file>