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45282C">
      <w:pPr>
        <w:keepNext w:val="0"/>
        <w:keepLines w:val="0"/>
        <w:pageBreakBefore w:val="0"/>
        <w:widowControl w:val="0"/>
        <w:kinsoku/>
        <w:wordWrap/>
        <w:overflowPunct/>
        <w:topLinePunct w:val="0"/>
        <w:autoSpaceDE/>
        <w:autoSpaceDN/>
        <w:bidi w:val="0"/>
        <w:adjustRightInd/>
        <w:snapToGrid/>
        <w:spacing w:beforeLines="0" w:afterLines="0" w:line="570" w:lineRule="exact"/>
        <w:jc w:val="left"/>
        <w:textAlignment w:val="auto"/>
        <w:rPr>
          <w:rFonts w:hint="eastAsia" w:ascii="Times New Roman" w:hAnsi="Times New Roman" w:eastAsia="方正小标宋_GBK" w:cs="方正小标宋_GBK"/>
          <w:color w:val="auto"/>
          <w:sz w:val="44"/>
          <w:szCs w:val="44"/>
        </w:rPr>
      </w:pPr>
      <w:r>
        <w:rPr>
          <w:rFonts w:hint="eastAsia" w:ascii="黑体" w:hAnsi="黑体" w:eastAsia="黑体" w:cs="黑体"/>
          <w:color w:val="auto"/>
          <w:sz w:val="32"/>
          <w:szCs w:val="32"/>
          <w:lang w:val="en-US" w:eastAsia="zh-CN"/>
        </w:rPr>
        <w:t>附件1-2</w:t>
      </w:r>
      <w:r>
        <w:rPr>
          <w:rFonts w:hint="eastAsia" w:ascii="Times New Roman" w:hAnsi="Times New Roman" w:eastAsia="方正小标宋_GBK" w:cs="方正小标宋_GBK"/>
          <w:color w:val="auto"/>
          <w:sz w:val="44"/>
          <w:szCs w:val="44"/>
        </w:rPr>
        <w:br w:type="textWrapping"/>
      </w:r>
    </w:p>
    <w:p w14:paraId="68E501BE">
      <w:pPr>
        <w:keepNext w:val="0"/>
        <w:keepLines w:val="0"/>
        <w:pageBreakBefore w:val="0"/>
        <w:widowControl w:val="0"/>
        <w:kinsoku/>
        <w:wordWrap/>
        <w:overflowPunct/>
        <w:topLinePunct w:val="0"/>
        <w:autoSpaceDE/>
        <w:autoSpaceDN/>
        <w:bidi w:val="0"/>
        <w:adjustRightInd/>
        <w:snapToGrid/>
        <w:spacing w:beforeLines="0" w:afterLines="0" w:line="570" w:lineRule="exact"/>
        <w:jc w:val="center"/>
        <w:textAlignment w:val="auto"/>
        <w:rPr>
          <w:rFonts w:hint="eastAsia" w:ascii="Times New Roman" w:hAnsi="Times New Roman" w:eastAsia="方正小标宋_GBK" w:cs="方正小标宋_GBK"/>
          <w:color w:val="auto"/>
          <w:sz w:val="44"/>
          <w:szCs w:val="44"/>
        </w:rPr>
      </w:pPr>
      <w:r>
        <w:rPr>
          <w:rFonts w:hint="eastAsia" w:ascii="Times New Roman" w:hAnsi="Times New Roman" w:eastAsia="方正小标宋_GBK" w:cs="方正小标宋_GBK"/>
          <w:color w:val="auto"/>
          <w:sz w:val="44"/>
          <w:szCs w:val="44"/>
        </w:rPr>
        <w:t>《基因测序与合成工艺</w:t>
      </w:r>
      <w:r>
        <w:rPr>
          <w:rFonts w:hint="eastAsia" w:ascii="Times New Roman" w:hAnsi="Times New Roman" w:eastAsia="方正小标宋_GBK" w:cs="方正小标宋_GBK"/>
          <w:color w:val="auto"/>
          <w:sz w:val="44"/>
          <w:szCs w:val="44"/>
          <w:lang w:val="en-US" w:eastAsia="zh-CN"/>
        </w:rPr>
        <w:t>技术要求</w:t>
      </w:r>
      <w:r>
        <w:rPr>
          <w:rFonts w:hint="eastAsia" w:ascii="Times New Roman" w:hAnsi="Times New Roman" w:eastAsia="方正小标宋_GBK" w:cs="方正小标宋_GBK"/>
          <w:color w:val="auto"/>
          <w:sz w:val="44"/>
          <w:szCs w:val="44"/>
        </w:rPr>
        <w:t>》团体标准</w:t>
      </w:r>
    </w:p>
    <w:p w14:paraId="287AF502">
      <w:pPr>
        <w:keepNext w:val="0"/>
        <w:keepLines w:val="0"/>
        <w:pageBreakBefore w:val="0"/>
        <w:widowControl w:val="0"/>
        <w:kinsoku/>
        <w:wordWrap/>
        <w:overflowPunct/>
        <w:topLinePunct w:val="0"/>
        <w:autoSpaceDE/>
        <w:autoSpaceDN/>
        <w:bidi w:val="0"/>
        <w:adjustRightInd/>
        <w:snapToGrid/>
        <w:spacing w:beforeLines="0" w:afterLines="0" w:line="570" w:lineRule="exact"/>
        <w:jc w:val="center"/>
        <w:textAlignment w:val="auto"/>
        <w:rPr>
          <w:rFonts w:hint="eastAsia" w:ascii="Times New Roman" w:hAnsi="Times New Roman" w:eastAsia="方正小标宋_GBK" w:cs="方正小标宋_GBK"/>
          <w:color w:val="auto"/>
          <w:sz w:val="44"/>
          <w:szCs w:val="44"/>
        </w:rPr>
      </w:pPr>
      <w:r>
        <w:rPr>
          <w:rFonts w:hint="eastAsia" w:ascii="Times New Roman" w:hAnsi="Times New Roman" w:eastAsia="方正小标宋_GBK" w:cs="方正小标宋_GBK"/>
          <w:color w:val="auto"/>
          <w:sz w:val="44"/>
          <w:szCs w:val="44"/>
        </w:rPr>
        <w:t>编制说明</w:t>
      </w:r>
    </w:p>
    <w:p w14:paraId="4D0D1413">
      <w:pPr>
        <w:pStyle w:val="2"/>
        <w:pageBreakBefore w:val="0"/>
        <w:widowControl w:val="0"/>
        <w:kinsoku/>
        <w:wordWrap/>
        <w:overflowPunct/>
        <w:topLinePunct w:val="0"/>
        <w:autoSpaceDE/>
        <w:autoSpaceDN/>
        <w:bidi w:val="0"/>
        <w:adjustRightInd/>
        <w:snapToGrid/>
        <w:spacing w:line="570" w:lineRule="exact"/>
        <w:textAlignment w:val="auto"/>
        <w:rPr>
          <w:rFonts w:hint="eastAsia"/>
        </w:rPr>
      </w:pPr>
    </w:p>
    <w:p w14:paraId="3AF643C1">
      <w:pPr>
        <w:pStyle w:val="3"/>
        <w:keepNext/>
        <w:keepLines/>
        <w:pageBreakBefore w:val="0"/>
        <w:widowControl w:val="0"/>
        <w:kinsoku/>
        <w:wordWrap/>
        <w:overflowPunct/>
        <w:topLinePunct w:val="0"/>
        <w:autoSpaceDE/>
        <w:autoSpaceDN/>
        <w:bidi w:val="0"/>
        <w:adjustRightInd/>
        <w:snapToGrid/>
        <w:spacing w:before="0" w:after="0" w:line="540" w:lineRule="exact"/>
        <w:ind w:firstLine="640" w:firstLineChars="200"/>
        <w:jc w:val="both"/>
        <w:textAlignment w:val="auto"/>
        <w:rPr>
          <w:rFonts w:hint="eastAsia" w:ascii="Times New Roman" w:hAnsi="Times New Roman" w:eastAsia="黑体" w:cs="黑体"/>
          <w:b w:val="0"/>
          <w:bCs w:val="0"/>
          <w:color w:val="auto"/>
          <w:sz w:val="32"/>
          <w:szCs w:val="32"/>
        </w:rPr>
      </w:pPr>
      <w:bookmarkStart w:id="0" w:name="_Toc525206144"/>
      <w:bookmarkStart w:id="1" w:name="_Toc500430260"/>
      <w:r>
        <w:rPr>
          <w:rFonts w:hint="eastAsia" w:ascii="Times New Roman" w:hAnsi="Times New Roman" w:eastAsia="黑体" w:cs="黑体"/>
          <w:b w:val="0"/>
          <w:bCs w:val="0"/>
          <w:color w:val="auto"/>
          <w:sz w:val="32"/>
          <w:szCs w:val="32"/>
        </w:rPr>
        <w:t>一、</w:t>
      </w:r>
      <w:bookmarkEnd w:id="0"/>
      <w:bookmarkEnd w:id="1"/>
      <w:r>
        <w:rPr>
          <w:rFonts w:hint="eastAsia" w:ascii="Times New Roman" w:hAnsi="Times New Roman" w:eastAsia="黑体" w:cs="黑体"/>
          <w:b w:val="0"/>
          <w:bCs w:val="0"/>
          <w:color w:val="auto"/>
          <w:sz w:val="32"/>
          <w:szCs w:val="32"/>
        </w:rPr>
        <w:t>工作简况</w:t>
      </w:r>
    </w:p>
    <w:p w14:paraId="3E593299">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lang w:val="en-US" w:eastAsia="zh-CN"/>
        </w:rPr>
      </w:pPr>
      <w:r>
        <w:rPr>
          <w:rFonts w:hint="eastAsia" w:ascii="楷体_GB2312" w:hAnsi="楷体_GB2312" w:eastAsia="楷体_GB2312" w:cs="楷体_GB2312"/>
          <w:b w:val="0"/>
          <w:bCs/>
          <w:color w:val="auto"/>
        </w:rPr>
        <w:t>（一）任务来源</w:t>
      </w:r>
      <w:r>
        <w:rPr>
          <w:rFonts w:hint="eastAsia" w:ascii="楷体_GB2312" w:hAnsi="楷体_GB2312" w:eastAsia="楷体_GB2312" w:cs="楷体_GB2312"/>
          <w:b w:val="0"/>
          <w:bCs/>
          <w:color w:val="auto"/>
          <w:lang w:val="en-US" w:eastAsia="zh-CN"/>
        </w:rPr>
        <w:t xml:space="preserve"> </w:t>
      </w:r>
    </w:p>
    <w:p w14:paraId="3199F0F6">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zh-CN" w:eastAsia="zh-CN" w:bidi="ar-SA"/>
        </w:rPr>
        <w:t>在基因测序与合成技术飞速发展，基因测序平台不断丰富和渗透至医学、健康、环境、农业等各个领域，根据2020年全国标准化工作要点，大力推动实施标准化战略，持续深化标准化工作改革，加强标准体系建设，提升引领高质量发展的能力。合成生物学（技术）领域首个由我国主导制定的国际标准《生物技术核酸合成第2部分：合成基因片段、基因和基因组的生产和质量控制要求（ISO 20688-2：2024）》于2024年4月由国际标准化组织正式发布。该标准为国际上从事合成基因的企业和研究机构提供高质量的质量控制标准，使得合成生物学领域合成基因的质量控制有了标准可依。基于此，</w:t>
      </w:r>
      <w:r>
        <w:rPr>
          <w:rFonts w:hint="eastAsia" w:ascii="仿宋_GB2312" w:hAnsi="仿宋_GB2312" w:eastAsia="仿宋_GB2312" w:cs="仿宋_GB2312"/>
          <w:kern w:val="2"/>
          <w:sz w:val="32"/>
          <w:szCs w:val="32"/>
          <w:lang w:val="en-US" w:eastAsia="zh-CN" w:bidi="ar-SA"/>
        </w:rPr>
        <w:t>基因测序与合成工艺流程亟需标准化、规范化指标进行</w:t>
      </w:r>
      <w:r>
        <w:rPr>
          <w:rFonts w:hint="eastAsia" w:ascii="仿宋_GB2312" w:hAnsi="仿宋_GB2312" w:eastAsia="仿宋_GB2312" w:cs="仿宋_GB2312"/>
          <w:sz w:val="32"/>
          <w:szCs w:val="32"/>
          <w:lang w:val="en-US" w:eastAsia="zh-CN"/>
        </w:rPr>
        <w:t>性能评价，</w:t>
      </w:r>
      <w:r>
        <w:rPr>
          <w:rFonts w:hint="eastAsia" w:ascii="仿宋_GB2312" w:hAnsi="仿宋_GB2312" w:eastAsia="仿宋_GB2312" w:cs="仿宋_GB2312"/>
          <w:kern w:val="2"/>
          <w:sz w:val="32"/>
          <w:szCs w:val="32"/>
          <w:lang w:val="zh-CN" w:eastAsia="zh-CN" w:bidi="ar-SA"/>
        </w:rPr>
        <w:t>本标准依据《中华人民共和国标准化法》以及《团体标准管理规定》相关规定，制定《基因测序与合成工艺</w:t>
      </w:r>
      <w:r>
        <w:rPr>
          <w:rFonts w:hint="eastAsia" w:ascii="仿宋_GB2312" w:hAnsi="仿宋_GB2312" w:eastAsia="仿宋_GB2312" w:cs="仿宋_GB2312"/>
          <w:kern w:val="2"/>
          <w:sz w:val="32"/>
          <w:szCs w:val="32"/>
          <w:lang w:val="en-US" w:eastAsia="zh-CN" w:bidi="ar-SA"/>
        </w:rPr>
        <w:t>技术要求</w:t>
      </w:r>
      <w:r>
        <w:rPr>
          <w:rFonts w:hint="eastAsia" w:ascii="仿宋_GB2312" w:hAnsi="仿宋_GB2312" w:eastAsia="仿宋_GB2312" w:cs="仿宋_GB2312"/>
          <w:kern w:val="2"/>
          <w:sz w:val="32"/>
          <w:szCs w:val="32"/>
          <w:lang w:val="zh-CN" w:eastAsia="zh-CN" w:bidi="ar-SA"/>
        </w:rPr>
        <w:t>》团体标准。</w:t>
      </w:r>
    </w:p>
    <w:p w14:paraId="31E4B502">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rPr>
      </w:pPr>
      <w:r>
        <w:rPr>
          <w:rFonts w:hint="eastAsia" w:ascii="楷体_GB2312" w:hAnsi="楷体_GB2312" w:eastAsia="楷体_GB2312" w:cs="楷体_GB2312"/>
          <w:b w:val="0"/>
          <w:bCs/>
          <w:color w:val="auto"/>
          <w:lang w:val="en-US" w:eastAsia="zh-CN"/>
        </w:rPr>
        <w:t>（二）</w:t>
      </w:r>
      <w:r>
        <w:rPr>
          <w:rFonts w:hint="eastAsia" w:ascii="楷体_GB2312" w:hAnsi="楷体_GB2312" w:eastAsia="楷体_GB2312" w:cs="楷体_GB2312"/>
          <w:b w:val="0"/>
          <w:bCs/>
          <w:color w:val="auto"/>
        </w:rPr>
        <w:t>主要工作过程</w:t>
      </w:r>
    </w:p>
    <w:p w14:paraId="2BC01B5C">
      <w:pPr>
        <w:keepNext w:val="0"/>
        <w:keepLines w:val="0"/>
        <w:pageBreakBefore w:val="0"/>
        <w:widowControl w:val="0"/>
        <w:kinsoku/>
        <w:wordWrap/>
        <w:overflowPunct/>
        <w:topLinePunct w:val="0"/>
        <w:bidi w:val="0"/>
        <w:adjustRightInd/>
        <w:snapToGrid/>
        <w:spacing w:line="540" w:lineRule="exact"/>
        <w:ind w:firstLine="643" w:firstLineChars="200"/>
        <w:textAlignment w:val="auto"/>
        <w:rPr>
          <w:rFonts w:hint="eastAsia" w:ascii="仿宋_GB2312" w:hAnsi="仿宋" w:eastAsia="仿宋_GB2312"/>
          <w:b/>
          <w:sz w:val="32"/>
          <w:szCs w:val="32"/>
          <w:lang w:val="en-US" w:eastAsia="zh-CN"/>
        </w:rPr>
      </w:pPr>
      <w:r>
        <w:rPr>
          <w:rFonts w:hint="eastAsia" w:ascii="仿宋_GB2312" w:hAnsi="仿宋" w:eastAsia="仿宋_GB2312"/>
          <w:b/>
          <w:sz w:val="32"/>
          <w:szCs w:val="32"/>
          <w:lang w:val="en-US" w:eastAsia="zh-CN"/>
        </w:rPr>
        <w:t>1.成立标准起草小组，</w:t>
      </w:r>
      <w:r>
        <w:rPr>
          <w:rFonts w:hint="eastAsia" w:ascii="仿宋_GB2312" w:hAnsi="仿宋" w:eastAsia="仿宋_GB2312"/>
          <w:b/>
          <w:sz w:val="32"/>
          <w:szCs w:val="32"/>
        </w:rPr>
        <w:t>研讨确定标准主体内容</w:t>
      </w:r>
    </w:p>
    <w:p w14:paraId="4CC32D00">
      <w:pPr>
        <w:keepNext w:val="0"/>
        <w:keepLines w:val="0"/>
        <w:pageBreakBefore w:val="0"/>
        <w:widowControl w:val="0"/>
        <w:kinsoku/>
        <w:wordWrap/>
        <w:overflowPunct/>
        <w:topLinePunct w:val="0"/>
        <w:autoSpaceDE/>
        <w:autoSpaceDN/>
        <w:bidi w:val="0"/>
        <w:adjustRightInd/>
        <w:snapToGrid/>
        <w:spacing w:line="540" w:lineRule="exact"/>
        <w:ind w:leftChars="0" w:firstLine="640" w:firstLineChars="20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en-US" w:eastAsia="zh-CN" w:bidi="ar-SA"/>
        </w:rPr>
        <w:t>2024年年初成立标准起草小组，起草小组</w:t>
      </w:r>
      <w:r>
        <w:rPr>
          <w:rFonts w:hint="eastAsia" w:ascii="仿宋_GB2312" w:hAnsi="仿宋_GB2312" w:eastAsia="仿宋_GB2312" w:cs="仿宋_GB2312"/>
          <w:kern w:val="2"/>
          <w:sz w:val="32"/>
          <w:szCs w:val="32"/>
          <w:lang w:val="zh-CN" w:eastAsia="zh-CN" w:bidi="ar-SA"/>
        </w:rPr>
        <w:t>于</w:t>
      </w:r>
      <w:r>
        <w:rPr>
          <w:rFonts w:hint="eastAsia" w:ascii="仿宋_GB2312" w:hAnsi="仿宋_GB2312" w:eastAsia="仿宋_GB2312" w:cs="仿宋_GB2312"/>
          <w:kern w:val="2"/>
          <w:sz w:val="32"/>
          <w:szCs w:val="32"/>
          <w:lang w:val="en-US" w:eastAsia="zh-CN" w:bidi="ar-SA"/>
        </w:rPr>
        <w:t>2024</w:t>
      </w:r>
      <w:r>
        <w:rPr>
          <w:rFonts w:hint="eastAsia" w:ascii="仿宋_GB2312" w:hAnsi="仿宋_GB2312" w:eastAsia="仿宋_GB2312" w:cs="仿宋_GB2312"/>
          <w:kern w:val="2"/>
          <w:sz w:val="32"/>
          <w:szCs w:val="32"/>
          <w:lang w:val="zh-CN" w:eastAsia="zh-CN" w:bidi="ar-SA"/>
        </w:rPr>
        <w:t>年</w:t>
      </w:r>
      <w:r>
        <w:rPr>
          <w:rFonts w:hint="eastAsia" w:ascii="仿宋_GB2312" w:hAnsi="仿宋_GB2312" w:eastAsia="仿宋_GB2312" w:cs="仿宋_GB2312"/>
          <w:kern w:val="2"/>
          <w:sz w:val="32"/>
          <w:szCs w:val="32"/>
          <w:lang w:val="en-US" w:eastAsia="zh-CN" w:bidi="ar-SA"/>
        </w:rPr>
        <w:t>3</w:t>
      </w:r>
      <w:r>
        <w:rPr>
          <w:rFonts w:hint="eastAsia" w:ascii="仿宋_GB2312" w:hAnsi="仿宋_GB2312" w:eastAsia="仿宋_GB2312" w:cs="仿宋_GB2312"/>
          <w:kern w:val="2"/>
          <w:sz w:val="32"/>
          <w:szCs w:val="32"/>
          <w:lang w:val="zh-CN" w:eastAsia="zh-CN" w:bidi="ar-SA"/>
        </w:rPr>
        <w:t>月</w:t>
      </w:r>
      <w:r>
        <w:rPr>
          <w:rFonts w:hint="eastAsia" w:ascii="仿宋_GB2312" w:hAnsi="仿宋_GB2312" w:eastAsia="仿宋_GB2312" w:cs="仿宋_GB2312"/>
          <w:kern w:val="2"/>
          <w:sz w:val="32"/>
          <w:szCs w:val="32"/>
          <w:lang w:val="en-US" w:eastAsia="zh-CN" w:bidi="ar-SA"/>
        </w:rPr>
        <w:t>下旬</w:t>
      </w:r>
      <w:r>
        <w:rPr>
          <w:rFonts w:hint="eastAsia" w:ascii="仿宋_GB2312" w:hAnsi="仿宋_GB2312" w:eastAsia="仿宋_GB2312" w:cs="仿宋_GB2312"/>
          <w:kern w:val="2"/>
          <w:sz w:val="32"/>
          <w:szCs w:val="32"/>
          <w:lang w:val="zh-CN" w:eastAsia="zh-CN" w:bidi="ar-SA"/>
        </w:rPr>
        <w:t>形成</w:t>
      </w:r>
      <w:r>
        <w:rPr>
          <w:rFonts w:hint="eastAsia" w:ascii="仿宋_GB2312" w:hAnsi="仿宋_GB2312" w:eastAsia="仿宋_GB2312" w:cs="仿宋_GB2312"/>
          <w:kern w:val="2"/>
          <w:sz w:val="32"/>
          <w:szCs w:val="32"/>
          <w:lang w:val="en-US" w:eastAsia="zh-CN" w:bidi="ar-SA"/>
        </w:rPr>
        <w:t>标准</w:t>
      </w:r>
      <w:r>
        <w:rPr>
          <w:rFonts w:hint="eastAsia" w:ascii="仿宋_GB2312" w:hAnsi="仿宋_GB2312" w:eastAsia="仿宋_GB2312" w:cs="仿宋_GB2312"/>
          <w:kern w:val="2"/>
          <w:sz w:val="32"/>
          <w:szCs w:val="32"/>
          <w:lang w:val="zh-CN" w:eastAsia="zh-CN" w:bidi="ar-SA"/>
        </w:rPr>
        <w:t>草案，</w:t>
      </w:r>
      <w:r>
        <w:rPr>
          <w:rFonts w:hint="eastAsia" w:ascii="仿宋_GB2312" w:hAnsi="仿宋_GB2312" w:eastAsia="仿宋_GB2312" w:cs="仿宋_GB2312"/>
          <w:kern w:val="2"/>
          <w:sz w:val="32"/>
          <w:szCs w:val="32"/>
          <w:lang w:val="en-US" w:eastAsia="zh-CN" w:bidi="ar-SA"/>
        </w:rPr>
        <w:t>4</w:t>
      </w:r>
      <w:r>
        <w:rPr>
          <w:rFonts w:hint="eastAsia" w:ascii="仿宋_GB2312" w:hAnsi="仿宋_GB2312" w:eastAsia="仿宋_GB2312" w:cs="仿宋_GB2312"/>
          <w:kern w:val="2"/>
          <w:sz w:val="32"/>
          <w:szCs w:val="32"/>
          <w:lang w:val="zh-CN" w:eastAsia="zh-CN" w:bidi="ar-SA"/>
        </w:rPr>
        <w:t>月</w:t>
      </w:r>
      <w:r>
        <w:rPr>
          <w:rFonts w:hint="eastAsia" w:ascii="仿宋_GB2312" w:hAnsi="仿宋_GB2312" w:eastAsia="仿宋_GB2312" w:cs="仿宋_GB2312"/>
          <w:kern w:val="2"/>
          <w:sz w:val="32"/>
          <w:szCs w:val="32"/>
          <w:lang w:val="en-US" w:eastAsia="zh-CN" w:bidi="ar-SA"/>
        </w:rPr>
        <w:t>1</w:t>
      </w:r>
      <w:r>
        <w:rPr>
          <w:rFonts w:hint="eastAsia" w:ascii="仿宋_GB2312" w:hAnsi="仿宋_GB2312" w:eastAsia="仿宋_GB2312" w:cs="仿宋_GB2312"/>
          <w:kern w:val="2"/>
          <w:sz w:val="32"/>
          <w:szCs w:val="32"/>
          <w:lang w:val="zh-CN" w:eastAsia="zh-CN" w:bidi="ar-SA"/>
        </w:rPr>
        <w:t>日在</w:t>
      </w:r>
      <w:r>
        <w:rPr>
          <w:rFonts w:hint="eastAsia" w:ascii="仿宋_GB2312" w:hAnsi="仿宋_GB2312" w:eastAsia="仿宋_GB2312" w:cs="仿宋_GB2312"/>
          <w:kern w:val="2"/>
          <w:sz w:val="32"/>
          <w:szCs w:val="32"/>
          <w:lang w:val="en-US" w:eastAsia="zh-CN" w:bidi="ar-SA"/>
        </w:rPr>
        <w:t>丽山健康（山东）集团有限公司</w:t>
      </w:r>
      <w:r>
        <w:rPr>
          <w:rFonts w:hint="eastAsia" w:ascii="仿宋_GB2312" w:hAnsi="仿宋_GB2312" w:eastAsia="仿宋_GB2312" w:cs="仿宋_GB2312"/>
          <w:kern w:val="2"/>
          <w:sz w:val="32"/>
          <w:szCs w:val="32"/>
          <w:lang w:val="zh-CN" w:eastAsia="zh-CN" w:bidi="ar-SA"/>
        </w:rPr>
        <w:t>召开了</w:t>
      </w:r>
      <w:r>
        <w:rPr>
          <w:rFonts w:hint="eastAsia" w:ascii="仿宋_GB2312" w:hAnsi="仿宋_GB2312" w:eastAsia="仿宋_GB2312" w:cs="仿宋_GB2312"/>
          <w:kern w:val="2"/>
          <w:sz w:val="32"/>
          <w:szCs w:val="32"/>
          <w:lang w:val="en-US" w:eastAsia="zh-CN" w:bidi="ar-SA"/>
        </w:rPr>
        <w:t>标准</w:t>
      </w:r>
      <w:r>
        <w:rPr>
          <w:rFonts w:hint="eastAsia" w:ascii="仿宋_GB2312" w:hAnsi="仿宋_GB2312" w:eastAsia="仿宋_GB2312" w:cs="仿宋_GB2312"/>
          <w:kern w:val="2"/>
          <w:sz w:val="32"/>
          <w:szCs w:val="32"/>
          <w:lang w:val="zh-CN" w:eastAsia="zh-CN" w:bidi="ar-SA"/>
        </w:rPr>
        <w:t>草案</w:t>
      </w:r>
      <w:r>
        <w:rPr>
          <w:rFonts w:hint="eastAsia" w:ascii="仿宋_GB2312" w:hAnsi="仿宋_GB2312" w:eastAsia="仿宋_GB2312" w:cs="仿宋_GB2312"/>
          <w:kern w:val="2"/>
          <w:sz w:val="32"/>
          <w:szCs w:val="32"/>
          <w:lang w:val="en-US" w:eastAsia="zh-CN" w:bidi="ar-SA"/>
        </w:rPr>
        <w:t>研讨</w:t>
      </w:r>
      <w:r>
        <w:rPr>
          <w:rFonts w:hint="eastAsia" w:ascii="仿宋_GB2312" w:hAnsi="仿宋_GB2312" w:eastAsia="仿宋_GB2312" w:cs="仿宋_GB2312"/>
          <w:kern w:val="2"/>
          <w:sz w:val="32"/>
          <w:szCs w:val="32"/>
          <w:lang w:val="zh-CN" w:eastAsia="zh-CN" w:bidi="ar-SA"/>
        </w:rPr>
        <w:t>会，</w:t>
      </w:r>
      <w:r>
        <w:rPr>
          <w:rFonts w:hint="eastAsia" w:ascii="仿宋_GB2312" w:hAnsi="仿宋" w:eastAsia="仿宋_GB2312"/>
          <w:sz w:val="32"/>
          <w:szCs w:val="32"/>
        </w:rPr>
        <w:t>对标准的整体框架结构进行了研究，并对标准的关键性内容进行了初步探讨</w:t>
      </w:r>
      <w:r>
        <w:rPr>
          <w:rFonts w:hint="eastAsia" w:ascii="仿宋_GB2312" w:hAnsi="仿宋_GB2312" w:eastAsia="仿宋_GB2312" w:cs="仿宋_GB2312"/>
          <w:kern w:val="2"/>
          <w:sz w:val="32"/>
          <w:szCs w:val="32"/>
          <w:lang w:val="zh-CN" w:eastAsia="zh-CN" w:bidi="ar-SA"/>
        </w:rPr>
        <w:t>。</w:t>
      </w:r>
    </w:p>
    <w:p w14:paraId="592D11AC">
      <w:pPr>
        <w:keepNext w:val="0"/>
        <w:keepLines w:val="0"/>
        <w:pageBreakBefore w:val="0"/>
        <w:widowControl w:val="0"/>
        <w:kinsoku/>
        <w:wordWrap/>
        <w:overflowPunct/>
        <w:topLinePunct w:val="0"/>
        <w:bidi w:val="0"/>
        <w:adjustRightInd/>
        <w:snapToGrid/>
        <w:spacing w:line="540" w:lineRule="exact"/>
        <w:ind w:firstLine="643" w:firstLineChars="200"/>
        <w:textAlignment w:val="auto"/>
        <w:rPr>
          <w:rFonts w:hint="default" w:ascii="仿宋_GB2312" w:hAnsi="仿宋" w:eastAsia="仿宋_GB2312"/>
          <w:b/>
          <w:sz w:val="32"/>
          <w:szCs w:val="32"/>
          <w:lang w:val="en-US" w:eastAsia="zh-CN"/>
        </w:rPr>
      </w:pPr>
      <w:r>
        <w:rPr>
          <w:rFonts w:hint="eastAsia" w:ascii="仿宋_GB2312" w:hAnsi="仿宋" w:eastAsia="仿宋_GB2312"/>
          <w:b/>
          <w:sz w:val="32"/>
          <w:szCs w:val="32"/>
          <w:lang w:val="en-US" w:eastAsia="zh-CN"/>
        </w:rPr>
        <w:t>2</w:t>
      </w:r>
      <w:r>
        <w:rPr>
          <w:rFonts w:hint="eastAsia" w:ascii="仿宋_GB2312" w:hAnsi="仿宋" w:eastAsia="仿宋_GB2312"/>
          <w:b/>
          <w:sz w:val="32"/>
          <w:szCs w:val="32"/>
        </w:rPr>
        <w:t>.草案形成</w:t>
      </w:r>
      <w:r>
        <w:rPr>
          <w:rFonts w:hint="eastAsia" w:ascii="仿宋_GB2312" w:hAnsi="仿宋" w:eastAsia="仿宋_GB2312"/>
          <w:b/>
          <w:sz w:val="32"/>
          <w:szCs w:val="32"/>
          <w:lang w:val="en-US" w:eastAsia="zh-CN"/>
        </w:rPr>
        <w:t>并召开立项评审会</w:t>
      </w:r>
    </w:p>
    <w:p w14:paraId="32B16B45">
      <w:pPr>
        <w:keepNext w:val="0"/>
        <w:keepLines w:val="0"/>
        <w:pageBreakBefore w:val="0"/>
        <w:widowControl w:val="0"/>
        <w:kinsoku/>
        <w:wordWrap/>
        <w:overflowPunct/>
        <w:topLinePunct w:val="0"/>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en-US" w:eastAsia="zh-CN" w:bidi="ar-SA"/>
        </w:rPr>
        <w:t>经过收集整理文献资料及研究讨论，标准起草小组</w:t>
      </w:r>
      <w:r>
        <w:rPr>
          <w:rFonts w:hint="eastAsia" w:ascii="仿宋_GB2312" w:hAnsi="仿宋" w:eastAsia="仿宋_GB2312"/>
          <w:sz w:val="32"/>
          <w:szCs w:val="32"/>
        </w:rPr>
        <w:t>通过理清逻辑脉络，整合已有参考资料中有关规范，并结合企业研发实际要求，按照简化、统一等原则完成《</w:t>
      </w:r>
      <w:r>
        <w:rPr>
          <w:rFonts w:hint="eastAsia" w:ascii="仿宋_GB2312" w:hAnsi="仿宋" w:eastAsia="仿宋_GB2312"/>
          <w:sz w:val="32"/>
          <w:szCs w:val="32"/>
          <w:lang w:val="en-US" w:eastAsia="zh-CN"/>
        </w:rPr>
        <w:t>基因测序与合成工艺</w:t>
      </w:r>
      <w:r>
        <w:rPr>
          <w:rFonts w:hint="eastAsia" w:ascii="仿宋_GB2312" w:hAnsi="仿宋_GB2312" w:eastAsia="仿宋_GB2312" w:cs="仿宋_GB2312"/>
          <w:kern w:val="2"/>
          <w:sz w:val="32"/>
          <w:szCs w:val="32"/>
          <w:lang w:val="en-US" w:eastAsia="zh-CN" w:bidi="ar-SA"/>
        </w:rPr>
        <w:t>技术要求</w:t>
      </w:r>
      <w:r>
        <w:rPr>
          <w:rFonts w:hint="eastAsia" w:ascii="仿宋_GB2312" w:hAnsi="仿宋" w:eastAsia="仿宋_GB2312"/>
          <w:sz w:val="32"/>
          <w:szCs w:val="32"/>
        </w:rPr>
        <w:t>》团体标准草案。2024年6月6日，山东科技咨询协会组织专家对</w:t>
      </w:r>
      <w:r>
        <w:rPr>
          <w:rFonts w:hint="eastAsia" w:ascii="仿宋_GB2312" w:hAnsi="仿宋" w:eastAsia="仿宋_GB2312"/>
          <w:sz w:val="32"/>
          <w:szCs w:val="32"/>
          <w:lang w:val="en-US" w:eastAsia="zh-CN"/>
        </w:rPr>
        <w:t>本项团体</w:t>
      </w:r>
      <w:r>
        <w:rPr>
          <w:rFonts w:hint="eastAsia" w:ascii="仿宋_GB2312" w:hAnsi="仿宋" w:eastAsia="仿宋_GB2312"/>
          <w:sz w:val="32"/>
          <w:szCs w:val="32"/>
        </w:rPr>
        <w:t>标准进行了立项评审</w:t>
      </w:r>
      <w:r>
        <w:rPr>
          <w:rFonts w:hint="eastAsia" w:ascii="仿宋_GB2312" w:hAnsi="仿宋" w:eastAsia="仿宋_GB2312"/>
          <w:sz w:val="32"/>
          <w:szCs w:val="32"/>
          <w:lang w:eastAsia="zh-CN"/>
        </w:rPr>
        <w:t>，</w:t>
      </w:r>
      <w:r>
        <w:rPr>
          <w:rFonts w:hint="eastAsia" w:ascii="仿宋_GB2312" w:hAnsi="仿宋" w:eastAsia="仿宋_GB2312"/>
          <w:sz w:val="32"/>
          <w:szCs w:val="32"/>
        </w:rPr>
        <w:t>评审专家审阅了立项申请材料，经过质询、答辩与交流，一致同意标准立项</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起草小组采纳立项评审会专家意见，将标准名称修改为</w:t>
      </w:r>
      <w:r>
        <w:rPr>
          <w:rFonts w:hint="eastAsia" w:ascii="仿宋_GB2312" w:hAnsi="宋体" w:eastAsia="仿宋_GB2312"/>
          <w:sz w:val="32"/>
          <w:szCs w:val="32"/>
        </w:rPr>
        <w:t>《</w:t>
      </w:r>
      <w:r>
        <w:rPr>
          <w:rFonts w:hint="eastAsia" w:ascii="仿宋_GB2312" w:hAnsi="仿宋" w:eastAsia="仿宋_GB2312"/>
          <w:sz w:val="32"/>
          <w:szCs w:val="32"/>
        </w:rPr>
        <w:t>基因测序与合成工艺</w:t>
      </w:r>
      <w:r>
        <w:rPr>
          <w:rFonts w:hint="eastAsia" w:ascii="仿宋_GB2312" w:hAnsi="仿宋_GB2312" w:eastAsia="仿宋_GB2312" w:cs="仿宋_GB2312"/>
          <w:kern w:val="2"/>
          <w:sz w:val="32"/>
          <w:szCs w:val="32"/>
          <w:lang w:val="en-US" w:eastAsia="zh-CN" w:bidi="ar-SA"/>
        </w:rPr>
        <w:t>技术要求</w:t>
      </w:r>
      <w:r>
        <w:rPr>
          <w:rFonts w:hint="eastAsia" w:ascii="仿宋_GB2312" w:hAnsi="宋体" w:eastAsia="仿宋_GB2312"/>
          <w:sz w:val="32"/>
          <w:szCs w:val="32"/>
        </w:rPr>
        <w:t>》</w:t>
      </w:r>
      <w:r>
        <w:rPr>
          <w:rFonts w:hint="eastAsia" w:ascii="仿宋_GB2312" w:hAnsi="仿宋" w:eastAsia="仿宋_GB2312"/>
          <w:sz w:val="32"/>
          <w:szCs w:val="32"/>
          <w:lang w:eastAsia="zh-CN"/>
        </w:rPr>
        <w:t>。</w:t>
      </w:r>
    </w:p>
    <w:p w14:paraId="7E1A0F87">
      <w:pPr>
        <w:keepNext w:val="0"/>
        <w:keepLines w:val="0"/>
        <w:pageBreakBefore w:val="0"/>
        <w:widowControl w:val="0"/>
        <w:kinsoku/>
        <w:wordWrap/>
        <w:overflowPunct/>
        <w:topLinePunct w:val="0"/>
        <w:bidi w:val="0"/>
        <w:adjustRightInd/>
        <w:snapToGrid/>
        <w:spacing w:line="540" w:lineRule="exact"/>
        <w:ind w:firstLine="643" w:firstLineChars="200"/>
        <w:textAlignment w:val="auto"/>
        <w:rPr>
          <w:rFonts w:ascii="仿宋_GB2312" w:hAnsi="仿宋" w:eastAsia="仿宋_GB2312"/>
          <w:b/>
          <w:bCs/>
          <w:sz w:val="32"/>
          <w:szCs w:val="32"/>
        </w:rPr>
      </w:pPr>
      <w:r>
        <w:rPr>
          <w:rFonts w:hint="eastAsia" w:ascii="仿宋_GB2312" w:hAnsi="仿宋" w:eastAsia="仿宋_GB2312"/>
          <w:b/>
          <w:bCs/>
          <w:sz w:val="32"/>
          <w:szCs w:val="32"/>
          <w:lang w:val="en-US" w:eastAsia="zh-CN"/>
        </w:rPr>
        <w:t>3.</w:t>
      </w:r>
      <w:r>
        <w:rPr>
          <w:rFonts w:hint="eastAsia" w:ascii="仿宋_GB2312" w:hAnsi="仿宋" w:eastAsia="仿宋_GB2312"/>
          <w:b/>
          <w:bCs/>
          <w:sz w:val="32"/>
          <w:szCs w:val="32"/>
        </w:rPr>
        <w:t>编制征求意见稿</w:t>
      </w:r>
    </w:p>
    <w:p w14:paraId="2DE81DA4">
      <w:pPr>
        <w:keepNext w:val="0"/>
        <w:keepLines w:val="0"/>
        <w:pageBreakBefore w:val="0"/>
        <w:widowControl w:val="0"/>
        <w:kinsoku/>
        <w:wordWrap/>
        <w:overflowPunct/>
        <w:topLinePunct w:val="0"/>
        <w:bidi w:val="0"/>
        <w:adjustRightInd/>
        <w:snapToGrid/>
        <w:spacing w:line="540" w:lineRule="exact"/>
        <w:ind w:firstLine="640" w:firstLineChars="200"/>
        <w:textAlignment w:val="auto"/>
        <w:rPr>
          <w:rFonts w:hint="eastAsia" w:ascii="仿宋_GB2312" w:hAnsi="宋体" w:eastAsia="仿宋_GB2312"/>
          <w:sz w:val="32"/>
          <w:szCs w:val="32"/>
        </w:rPr>
      </w:pPr>
      <w:r>
        <w:rPr>
          <w:rFonts w:hint="eastAsia" w:ascii="仿宋_GB2312" w:hAnsi="宋体" w:eastAsia="仿宋_GB2312"/>
          <w:sz w:val="32"/>
          <w:szCs w:val="32"/>
        </w:rPr>
        <w:t>标准起草组</w:t>
      </w:r>
      <w:r>
        <w:rPr>
          <w:rFonts w:hint="eastAsia" w:ascii="仿宋_GB2312" w:hAnsi="宋体" w:eastAsia="仿宋_GB2312"/>
          <w:sz w:val="32"/>
          <w:szCs w:val="32"/>
          <w:lang w:val="en-US" w:eastAsia="zh-CN"/>
        </w:rPr>
        <w:t>依据立项评审会的专家意见，通过</w:t>
      </w:r>
      <w:r>
        <w:rPr>
          <w:rFonts w:hint="eastAsia" w:ascii="仿宋_GB2312" w:hAnsi="宋体" w:eastAsia="仿宋_GB2312"/>
          <w:sz w:val="32"/>
          <w:szCs w:val="32"/>
        </w:rPr>
        <w:t>实地调研，召开多次</w:t>
      </w:r>
      <w:r>
        <w:rPr>
          <w:rFonts w:hint="eastAsia" w:ascii="仿宋_GB2312" w:hAnsi="宋体" w:eastAsia="仿宋_GB2312"/>
          <w:sz w:val="32"/>
          <w:szCs w:val="32"/>
          <w:lang w:val="en-US" w:eastAsia="zh-CN"/>
        </w:rPr>
        <w:t>研讨</w:t>
      </w:r>
      <w:r>
        <w:rPr>
          <w:rFonts w:hint="eastAsia" w:ascii="仿宋_GB2312" w:hAnsi="宋体" w:eastAsia="仿宋_GB2312"/>
          <w:sz w:val="32"/>
          <w:szCs w:val="32"/>
        </w:rPr>
        <w:t>会议，对收集反馈的建议和意见研究讨论并不断完善标准内容</w:t>
      </w:r>
      <w:r>
        <w:rPr>
          <w:rFonts w:hint="eastAsia" w:ascii="仿宋_GB2312" w:hAnsi="宋体" w:eastAsia="仿宋_GB2312"/>
          <w:sz w:val="32"/>
          <w:szCs w:val="32"/>
          <w:lang w:eastAsia="zh-CN"/>
        </w:rPr>
        <w:t>，</w:t>
      </w:r>
      <w:r>
        <w:rPr>
          <w:rFonts w:hint="eastAsia" w:ascii="仿宋_GB2312" w:hAnsi="宋体" w:eastAsia="仿宋_GB2312"/>
          <w:sz w:val="32"/>
          <w:szCs w:val="32"/>
        </w:rPr>
        <w:t>最终形成了《</w:t>
      </w:r>
      <w:r>
        <w:rPr>
          <w:rFonts w:hint="eastAsia" w:ascii="仿宋_GB2312" w:hAnsi="仿宋" w:eastAsia="仿宋_GB2312"/>
          <w:sz w:val="32"/>
          <w:szCs w:val="32"/>
        </w:rPr>
        <w:t>基因测序与合成工艺</w:t>
      </w:r>
      <w:r>
        <w:rPr>
          <w:rFonts w:hint="eastAsia" w:ascii="仿宋_GB2312" w:hAnsi="仿宋_GB2312" w:eastAsia="仿宋_GB2312" w:cs="仿宋_GB2312"/>
          <w:kern w:val="2"/>
          <w:sz w:val="32"/>
          <w:szCs w:val="32"/>
          <w:lang w:val="en-US" w:eastAsia="zh-CN" w:bidi="ar-SA"/>
        </w:rPr>
        <w:t>技术要求</w:t>
      </w:r>
      <w:r>
        <w:rPr>
          <w:rFonts w:hint="eastAsia" w:ascii="仿宋_GB2312" w:hAnsi="宋体" w:eastAsia="仿宋_GB2312"/>
          <w:sz w:val="32"/>
          <w:szCs w:val="32"/>
        </w:rPr>
        <w:t>》团体标准（征求意见稿）和（征求意见稿）编制说明。</w:t>
      </w:r>
    </w:p>
    <w:p w14:paraId="596DFF4F">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jc w:val="both"/>
        <w:textAlignment w:val="auto"/>
        <w:rPr>
          <w:rFonts w:hint="eastAsia" w:ascii="Times New Roman" w:hAnsi="Times New Roman" w:eastAsia="黑体" w:cs="黑体"/>
          <w:b w:val="0"/>
          <w:bCs w:val="0"/>
          <w:color w:val="auto"/>
          <w:sz w:val="32"/>
          <w:szCs w:val="32"/>
          <w:lang w:val="en-US" w:eastAsia="zh-CN"/>
        </w:rPr>
      </w:pPr>
      <w:r>
        <w:rPr>
          <w:rFonts w:hint="eastAsia" w:ascii="Times New Roman" w:hAnsi="Times New Roman" w:eastAsia="黑体" w:cs="黑体"/>
          <w:b w:val="0"/>
          <w:bCs w:val="0"/>
          <w:color w:val="auto"/>
          <w:kern w:val="44"/>
          <w:sz w:val="32"/>
          <w:szCs w:val="32"/>
          <w:lang w:val="en-US" w:eastAsia="zh-CN" w:bidi="ar-SA"/>
        </w:rPr>
        <w:t>二、</w:t>
      </w:r>
      <w:r>
        <w:rPr>
          <w:rFonts w:hint="eastAsia" w:ascii="Times New Roman" w:hAnsi="Times New Roman" w:eastAsia="黑体" w:cs="黑体"/>
          <w:b w:val="0"/>
          <w:bCs w:val="0"/>
          <w:color w:val="auto"/>
          <w:sz w:val="32"/>
          <w:szCs w:val="32"/>
        </w:rPr>
        <w:t>标准编制原则</w:t>
      </w:r>
      <w:r>
        <w:rPr>
          <w:rFonts w:hint="eastAsia" w:ascii="Times New Roman" w:hAnsi="Times New Roman" w:eastAsia="黑体" w:cs="黑体"/>
          <w:b w:val="0"/>
          <w:bCs w:val="0"/>
          <w:color w:val="auto"/>
          <w:sz w:val="32"/>
          <w:szCs w:val="32"/>
          <w:lang w:eastAsia="zh-CN"/>
        </w:rPr>
        <w:t>、</w:t>
      </w:r>
      <w:r>
        <w:rPr>
          <w:rFonts w:hint="eastAsia" w:ascii="Times New Roman" w:hAnsi="Times New Roman" w:eastAsia="黑体" w:cs="黑体"/>
          <w:b w:val="0"/>
          <w:bCs w:val="0"/>
          <w:color w:val="auto"/>
          <w:sz w:val="32"/>
          <w:szCs w:val="32"/>
          <w:lang w:val="en-US" w:eastAsia="zh-CN"/>
        </w:rPr>
        <w:t>主要内容及其确定依据</w:t>
      </w:r>
    </w:p>
    <w:p w14:paraId="2F6BAD22">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lang w:val="en-US" w:eastAsia="zh-CN"/>
        </w:rPr>
      </w:pPr>
      <w:r>
        <w:rPr>
          <w:rFonts w:hint="eastAsia" w:ascii="楷体_GB2312" w:hAnsi="楷体_GB2312" w:eastAsia="楷体_GB2312" w:cs="楷体_GB2312"/>
          <w:b w:val="0"/>
          <w:bCs/>
          <w:color w:val="auto"/>
          <w:lang w:val="en-US" w:eastAsia="zh-CN"/>
        </w:rPr>
        <w:t>（一）标准编制原则</w:t>
      </w:r>
    </w:p>
    <w:p w14:paraId="52E78D7E">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zh-CN" w:eastAsia="zh-CN" w:bidi="ar-SA"/>
        </w:rPr>
        <w:t>本标准编写格式按照GB/T 1.1—2020《标准化工作导则 第1 部分：标准化文件的结构和起草规则》的格式要求进行编写。制定的标准能反映我国</w:t>
      </w:r>
      <w:r>
        <w:rPr>
          <w:rFonts w:hint="eastAsia" w:ascii="仿宋_GB2312" w:hAnsi="仿宋_GB2312" w:eastAsia="仿宋_GB2312" w:cs="仿宋_GB2312"/>
          <w:kern w:val="2"/>
          <w:sz w:val="32"/>
          <w:szCs w:val="32"/>
          <w:lang w:val="en-US" w:eastAsia="zh-CN" w:bidi="ar-SA"/>
        </w:rPr>
        <w:t>Sanger测序工艺流程、高通量测序工艺流程、基因合成（合成类型包括常规引物合成、修饰引物合成、RNA合成、探针设计等）</w:t>
      </w:r>
      <w:r>
        <w:rPr>
          <w:rFonts w:hint="eastAsia" w:ascii="仿宋_GB2312" w:hAnsi="仿宋_GB2312" w:eastAsia="仿宋_GB2312" w:cs="仿宋_GB2312"/>
          <w:kern w:val="2"/>
          <w:sz w:val="32"/>
          <w:szCs w:val="32"/>
          <w:lang w:val="zh-CN" w:eastAsia="zh-CN" w:bidi="ar-SA"/>
        </w:rPr>
        <w:t>的最新水平。制定标准时尽可能地做到简化、统一、协调、优化；既考虑其先进性，也考虑到实用性、可行性；既符合国内外发展的需要，也结合国内目前的实际状况，</w:t>
      </w:r>
      <w:r>
        <w:rPr>
          <w:rFonts w:hint="eastAsia" w:ascii="仿宋_GB2312" w:hAnsi="仿宋_GB2312" w:eastAsia="仿宋_GB2312" w:cs="仿宋_GB2312"/>
          <w:kern w:val="2"/>
          <w:sz w:val="32"/>
          <w:szCs w:val="32"/>
          <w:lang w:val="en-US" w:eastAsia="zh-CN" w:bidi="ar-SA"/>
        </w:rPr>
        <w:t>因此在标准编制过程应遵循以下原则：</w:t>
      </w:r>
    </w:p>
    <w:p w14:paraId="1280F49F">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1.</w:t>
      </w:r>
      <w:r>
        <w:rPr>
          <w:rFonts w:hint="eastAsia" w:ascii="仿宋_GB2312" w:hAnsi="仿宋_GB2312" w:eastAsia="仿宋_GB2312" w:cs="仿宋_GB2312"/>
          <w:sz w:val="32"/>
          <w:szCs w:val="32"/>
          <w:lang w:val="en-US" w:eastAsia="zh-CN"/>
        </w:rPr>
        <w:t>协调性原则：本标准编写过程中注意了与</w:t>
      </w:r>
      <w:r>
        <w:rPr>
          <w:rFonts w:hint="eastAsia" w:ascii="仿宋_GB2312" w:hAnsi="仿宋_GB2312" w:eastAsia="仿宋_GB2312" w:cs="仿宋_GB2312"/>
          <w:sz w:val="32"/>
          <w:szCs w:val="32"/>
          <w:lang w:val="zh-CN" w:eastAsia="zh-CN"/>
        </w:rPr>
        <w:t>基因测序公共服务平台建设</w:t>
      </w:r>
      <w:r>
        <w:rPr>
          <w:rFonts w:hint="eastAsia" w:ascii="仿宋_GB2312" w:hAnsi="仿宋_GB2312" w:eastAsia="仿宋_GB2312" w:cs="仿宋_GB2312"/>
          <w:sz w:val="32"/>
          <w:szCs w:val="32"/>
          <w:lang w:val="en-US" w:eastAsia="zh-CN"/>
        </w:rPr>
        <w:t>相关法律法规的协调问题，在内容上与现行法律法规、标准协调一致。</w:t>
      </w:r>
    </w:p>
    <w:p w14:paraId="21847B73">
      <w:pPr>
        <w:pageBreakBefore w:val="0"/>
        <w:kinsoku/>
        <w:wordWrap/>
        <w:overflowPunct/>
        <w:topLinePunct w:val="0"/>
        <w:bidi w:val="0"/>
        <w:adjustRightInd/>
        <w:snapToGrid/>
        <w:spacing w:line="54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2.规范性原则：</w:t>
      </w:r>
      <w:r>
        <w:rPr>
          <w:rFonts w:hint="eastAsia" w:ascii="仿宋_GB2312" w:hAnsi="仿宋" w:eastAsia="仿宋_GB2312"/>
          <w:sz w:val="32"/>
          <w:szCs w:val="32"/>
        </w:rPr>
        <w:t>本标准严格按照《GB/T 1.1—2020标准化工作导则 第1部分：标准化文件的结构和起草规则》的要求和规定编写本标准的内容，保证标准的编写质量。</w:t>
      </w:r>
    </w:p>
    <w:p w14:paraId="5289629D">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3.</w:t>
      </w:r>
      <w:r>
        <w:rPr>
          <w:rFonts w:hint="eastAsia" w:ascii="仿宋_GB2312" w:hAnsi="仿宋_GB2312" w:eastAsia="仿宋_GB2312" w:cs="仿宋_GB2312"/>
          <w:sz w:val="32"/>
          <w:szCs w:val="32"/>
          <w:lang w:val="en-US" w:eastAsia="zh-CN"/>
        </w:rPr>
        <w:t>易用性原则：文件内容的表述宜便于直接应用，并且易于被其他文件引用或剪裁使用。有两层意思：</w:t>
      </w:r>
    </w:p>
    <w:p w14:paraId="52723C3B">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（1）便于直接应用：可操作性、内容相对集中、使用方便。</w:t>
      </w:r>
    </w:p>
    <w:p w14:paraId="44A879C2">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（2）便于间接应用：引用方便、内容分割合理、标识明显。</w:t>
      </w:r>
    </w:p>
    <w:p w14:paraId="799AB856">
      <w:pPr>
        <w:pStyle w:val="4"/>
        <w:keepNext/>
        <w:keepLines/>
        <w:pageBreakBefore w:val="0"/>
        <w:widowControl w:val="0"/>
        <w:kinsoku/>
        <w:wordWrap/>
        <w:overflowPunct/>
        <w:topLinePunct w:val="0"/>
        <w:autoSpaceDE/>
        <w:autoSpaceDN/>
        <w:bidi w:val="0"/>
        <w:adjustRightInd/>
        <w:snapToGrid/>
        <w:spacing w:before="0" w:beforeLines="0" w:after="0" w:afterLines="0" w:line="540" w:lineRule="exact"/>
        <w:ind w:firstLine="640" w:firstLineChars="200"/>
        <w:jc w:val="both"/>
        <w:textAlignment w:val="auto"/>
        <w:rPr>
          <w:rFonts w:hint="eastAsia" w:ascii="楷体_GB2312" w:hAnsi="楷体_GB2312" w:eastAsia="楷体_GB2312" w:cs="楷体_GB2312"/>
          <w:b w:val="0"/>
          <w:bCs/>
          <w:color w:val="auto"/>
          <w:lang w:val="en-US" w:eastAsia="zh-CN"/>
        </w:rPr>
      </w:pPr>
      <w:r>
        <w:rPr>
          <w:rFonts w:hint="eastAsia" w:ascii="楷体_GB2312" w:hAnsi="楷体_GB2312" w:eastAsia="楷体_GB2312" w:cs="楷体_GB2312"/>
          <w:b w:val="0"/>
          <w:bCs/>
          <w:color w:val="auto"/>
          <w:lang w:val="en-US" w:eastAsia="zh-CN"/>
        </w:rPr>
        <w:t>（二）主要内容</w:t>
      </w:r>
    </w:p>
    <w:p w14:paraId="7E8B691E">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_GB2312" w:hAnsi="楷体_GB2312" w:eastAsia="楷体_GB2312" w:cs="楷体_GB2312"/>
          <w:b w:val="0"/>
          <w:bCs/>
          <w:color w:val="auto"/>
          <w:lang w:val="en-US" w:eastAsia="zh-CN"/>
        </w:rPr>
      </w:pPr>
      <w:r>
        <w:rPr>
          <w:rFonts w:hint="default" w:ascii="仿宋_GB2312" w:hAnsi="仿宋_GB2312" w:eastAsia="仿宋_GB2312" w:cs="仿宋_GB2312"/>
          <w:kern w:val="2"/>
          <w:sz w:val="32"/>
          <w:szCs w:val="32"/>
          <w:lang w:val="en-US" w:eastAsia="zh-CN" w:bidi="ar-SA"/>
        </w:rPr>
        <w:t>本标准主要内容包括范围、规范性引用文件、术语和定义、缩略词、原理、主要仪器及设备、</w:t>
      </w:r>
      <w:r>
        <w:rPr>
          <w:rFonts w:hint="eastAsia" w:ascii="仿宋_GB2312" w:hAnsi="仿宋_GB2312" w:eastAsia="仿宋_GB2312" w:cs="仿宋_GB2312"/>
          <w:kern w:val="2"/>
          <w:sz w:val="32"/>
          <w:szCs w:val="32"/>
          <w:lang w:val="en-US" w:eastAsia="zh-CN" w:bidi="ar-SA"/>
        </w:rPr>
        <w:t>主要技术工艺流程、</w:t>
      </w:r>
      <w:r>
        <w:rPr>
          <w:rFonts w:hint="default" w:ascii="仿宋_GB2312" w:hAnsi="仿宋_GB2312" w:eastAsia="仿宋_GB2312" w:cs="仿宋_GB2312"/>
          <w:kern w:val="2"/>
          <w:sz w:val="32"/>
          <w:szCs w:val="32"/>
          <w:lang w:val="en-US" w:eastAsia="zh-CN" w:bidi="ar-SA"/>
        </w:rPr>
        <w:t>指标要求和条件、参考文献。本标准编制时遵守了 GB/T 1.1</w:t>
      </w:r>
      <w:r>
        <w:rPr>
          <w:rFonts w:hint="eastAsia" w:ascii="仿宋_GB2312" w:hAnsi="仿宋_GB2312" w:eastAsia="仿宋_GB2312" w:cs="仿宋_GB2312"/>
          <w:kern w:val="2"/>
          <w:sz w:val="32"/>
          <w:szCs w:val="32"/>
          <w:lang w:val="en-US" w:eastAsia="zh-CN" w:bidi="ar-SA"/>
        </w:rPr>
        <w:t>—2020</w:t>
      </w:r>
      <w:r>
        <w:rPr>
          <w:rFonts w:hint="default" w:ascii="仿宋_GB2312" w:hAnsi="仿宋_GB2312" w:eastAsia="仿宋_GB2312" w:cs="仿宋_GB2312"/>
          <w:kern w:val="2"/>
          <w:sz w:val="32"/>
          <w:szCs w:val="32"/>
          <w:lang w:val="en-US" w:eastAsia="zh-CN" w:bidi="ar-SA"/>
        </w:rPr>
        <w:t>《标准化工作导则</w:t>
      </w:r>
      <w:r>
        <w:rPr>
          <w:rFonts w:hint="eastAsia" w:ascii="仿宋_GB2312" w:hAnsi="仿宋_GB2312" w:eastAsia="仿宋_GB2312" w:cs="仿宋_GB2312"/>
          <w:kern w:val="2"/>
          <w:sz w:val="32"/>
          <w:szCs w:val="32"/>
          <w:lang w:val="en-US" w:eastAsia="zh-CN" w:bidi="ar-SA"/>
        </w:rPr>
        <w:t xml:space="preserve"> 第一部分：标准化文件的结构和起草规则</w:t>
      </w:r>
      <w:r>
        <w:rPr>
          <w:rFonts w:hint="default" w:ascii="仿宋_GB2312" w:hAnsi="仿宋_GB2312" w:eastAsia="仿宋_GB2312" w:cs="仿宋_GB2312"/>
          <w:kern w:val="2"/>
          <w:sz w:val="32"/>
          <w:szCs w:val="32"/>
          <w:lang w:val="en-US" w:eastAsia="zh-CN" w:bidi="ar-SA"/>
        </w:rPr>
        <w:t>》标准确定的规则。本标准在相关技术指标的确定参考了相关文件以及目前市场上产品说明书和性能评估资料，并结合临床要求，确定了本标准</w:t>
      </w:r>
      <w:r>
        <w:rPr>
          <w:rFonts w:hint="eastAsia" w:ascii="仿宋_GB2312" w:hAnsi="仿宋_GB2312" w:eastAsia="仿宋_GB2312" w:cs="仿宋_GB2312"/>
          <w:kern w:val="2"/>
          <w:sz w:val="32"/>
          <w:szCs w:val="32"/>
          <w:lang w:val="en-US" w:eastAsia="zh-CN" w:bidi="ar-SA"/>
        </w:rPr>
        <w:t>内容</w:t>
      </w:r>
      <w:r>
        <w:rPr>
          <w:rFonts w:hint="default"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br w:type="textWrapping"/>
      </w:r>
      <w:r>
        <w:rPr>
          <w:rFonts w:hint="eastAsia" w:ascii="仿宋_GB2312" w:hAnsi="仿宋_GB2312" w:eastAsia="仿宋_GB2312" w:cs="仿宋_GB2312"/>
          <w:kern w:val="2"/>
          <w:sz w:val="32"/>
          <w:szCs w:val="32"/>
          <w:lang w:val="en-US" w:eastAsia="zh-CN" w:bidi="ar-SA"/>
        </w:rPr>
        <w:t xml:space="preserve">    </w:t>
      </w:r>
      <w:r>
        <w:rPr>
          <w:rFonts w:hint="eastAsia" w:ascii="楷体_GB2312" w:hAnsi="楷体_GB2312" w:eastAsia="楷体_GB2312" w:cs="楷体_GB2312"/>
          <w:b w:val="0"/>
          <w:bCs/>
          <w:color w:val="auto"/>
          <w:kern w:val="2"/>
          <w:sz w:val="32"/>
          <w:szCs w:val="22"/>
          <w:lang w:val="en-US" w:eastAsia="zh-CN" w:bidi="ar-SA"/>
        </w:rPr>
        <w:t>（三）确定主要内容的依据</w:t>
      </w:r>
    </w:p>
    <w:p w14:paraId="1359C17D">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对现有基因测序</w:t>
      </w:r>
      <w:r>
        <w:rPr>
          <w:rFonts w:hint="eastAsia" w:ascii="仿宋_GB2312" w:hAnsi="仿宋_GB2312" w:eastAsia="仿宋_GB2312" w:cs="仿宋_GB2312"/>
          <w:kern w:val="2"/>
          <w:sz w:val="32"/>
          <w:szCs w:val="32"/>
          <w:lang w:val="en-US" w:eastAsia="zh-CN" w:bidi="ar-SA"/>
        </w:rPr>
        <w:t>和基因合成（合成类型包括常规引物合成、修饰引物合成、RNA合成、探针设计等）</w:t>
      </w:r>
      <w:r>
        <w:rPr>
          <w:rFonts w:hint="default" w:ascii="仿宋_GB2312" w:hAnsi="仿宋_GB2312" w:eastAsia="仿宋_GB2312" w:cs="仿宋_GB2312"/>
          <w:kern w:val="2"/>
          <w:sz w:val="32"/>
          <w:szCs w:val="32"/>
          <w:lang w:val="en-US" w:eastAsia="zh-CN" w:bidi="ar-SA"/>
        </w:rPr>
        <w:t>指标进行调研评估，考虑到不同平台与技术可能存在不同的结果评价指标，因此需要在众多指标中找到具有代表性的通用评价指标，才可以对所有不同平台的检测结果进行规范性评判，以满足标准制定需要简化、统一的要求。</w:t>
      </w:r>
    </w:p>
    <w:p w14:paraId="5D339D37">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对于基因合成（合成类型包括常规引物合成、修饰引物合成、RNA合成、探针设计等）而言，对合成的基因片段的生产和质量控制对于确保质量及其在生物技术中的下游应用至关重要，因此对生物安全、纯度、产量、大小、基因克隆准确性、完整度、序列、残留杂质等质量指标的统一标准至关重要。</w:t>
      </w:r>
    </w:p>
    <w:p w14:paraId="6F6001B1">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基因合成后的测序，目前实际应用最广泛的是Sanger测序方法，由于Sanger测序方法并非单一技术，因此本标准仅对Sanger法基因测序的术语、技术指标，以及所涉及的仪器设备、试剂、方法进行说明和规定。</w:t>
      </w:r>
    </w:p>
    <w:p w14:paraId="36003443">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随着高通量测序技术的发展，越来越多种类的核酸样本用于高通量测序，从而在DNA和RNA的分子水平来揭示不同物种间核酸序列的差异，而核酸样本质量对测序结果产生直接影响，因此需从核酸类样本的完整度及样品浓度上制定标准以提高测序的成功率和准确性。</w:t>
      </w:r>
    </w:p>
    <w:p w14:paraId="201658B8">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对于高通量基因测序而言，同时达到一定的测序质量和检测能力要求定义为一个成功的高通量测序结果。目前商业上常用的第二代测序平台根据测序原理可分为光学技术 (Illumina 公司、华大基因公司为代表</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和半导体技术（Thermo 公司为代表）。每个测序平台都有各自的特异性参数，包括仪器大小、通</w:t>
      </w:r>
      <w:r>
        <w:rPr>
          <w:rFonts w:hint="default" w:ascii="仿宋_GB2312" w:hAnsi="仿宋_GB2312" w:eastAsia="仿宋_GB2312" w:cs="仿宋_GB2312"/>
          <w:color w:val="auto"/>
          <w:kern w:val="2"/>
          <w:sz w:val="32"/>
          <w:szCs w:val="32"/>
          <w:lang w:val="en-US" w:eastAsia="zh-CN" w:bidi="ar-SA"/>
        </w:rPr>
        <w:t>量、读长、运行时间及测序成本等，企业应结合具体的临床应用需求选</w:t>
      </w:r>
      <w:r>
        <w:rPr>
          <w:rFonts w:hint="default" w:ascii="仿宋_GB2312" w:hAnsi="仿宋_GB2312" w:eastAsia="仿宋_GB2312" w:cs="仿宋_GB2312"/>
          <w:kern w:val="2"/>
          <w:sz w:val="32"/>
          <w:szCs w:val="32"/>
          <w:lang w:val="en-US" w:eastAsia="zh-CN" w:bidi="ar-SA"/>
        </w:rPr>
        <w:t>择合适的测序平台并进行评估。经过对各测序结果指标值的筛选比较与分析，选定符合高通量基因测序结果的评价指标，包含测序读长和通量、碱基识别质量百分比、测序覆盖率和测序平均深度、测序准确率、重复性、软件功能、安全要求、环境试验要求、电磁兼容性要求等评价内容。</w:t>
      </w:r>
    </w:p>
    <w:p w14:paraId="136A40D6">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以上指标作为本标准评定</w:t>
      </w:r>
      <w:r>
        <w:rPr>
          <w:rFonts w:hint="eastAsia" w:ascii="仿宋_GB2312" w:hAnsi="仿宋_GB2312" w:eastAsia="仿宋_GB2312" w:cs="仿宋_GB2312"/>
          <w:kern w:val="2"/>
          <w:sz w:val="32"/>
          <w:szCs w:val="32"/>
          <w:lang w:val="en-US" w:eastAsia="zh-CN" w:bidi="ar-SA"/>
        </w:rPr>
        <w:t>基因测序与合成（合成类型包括常规引物合成、修饰引物合成、RNA合成、探针设计等）</w:t>
      </w:r>
      <w:r>
        <w:rPr>
          <w:rFonts w:hint="default" w:ascii="仿宋_GB2312" w:hAnsi="仿宋_GB2312" w:eastAsia="仿宋_GB2312" w:cs="仿宋_GB2312"/>
          <w:kern w:val="2"/>
          <w:sz w:val="32"/>
          <w:szCs w:val="32"/>
          <w:lang w:val="en-US" w:eastAsia="zh-CN" w:bidi="ar-SA"/>
        </w:rPr>
        <w:t>的主要参数。针对以上指标在不同高通量测序平台测序结果中的表现进行统计分析，结合国内外测序技术的发展水平，综合得出用于</w:t>
      </w:r>
      <w:r>
        <w:rPr>
          <w:rFonts w:hint="eastAsia" w:ascii="仿宋_GB2312" w:hAnsi="仿宋_GB2312" w:eastAsia="仿宋_GB2312" w:cs="仿宋_GB2312"/>
          <w:kern w:val="2"/>
          <w:sz w:val="32"/>
          <w:szCs w:val="32"/>
          <w:lang w:val="en-US" w:eastAsia="zh-CN" w:bidi="ar-SA"/>
        </w:rPr>
        <w:t>基因测序与基因合成</w:t>
      </w:r>
      <w:r>
        <w:rPr>
          <w:rFonts w:hint="default" w:ascii="仿宋_GB2312" w:hAnsi="仿宋_GB2312" w:eastAsia="仿宋_GB2312" w:cs="仿宋_GB2312"/>
          <w:kern w:val="2"/>
          <w:sz w:val="32"/>
          <w:szCs w:val="32"/>
          <w:lang w:val="en-US" w:eastAsia="zh-CN" w:bidi="ar-SA"/>
        </w:rPr>
        <w:t>性能评价指标的具体阐述。</w:t>
      </w:r>
    </w:p>
    <w:p w14:paraId="79294083">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jc w:val="both"/>
        <w:textAlignment w:val="auto"/>
        <w:rPr>
          <w:rFonts w:hint="eastAsia" w:ascii="Times New Roman" w:hAnsi="Times New Roman" w:eastAsia="黑体" w:cs="黑体"/>
          <w:b w:val="0"/>
          <w:bCs w:val="0"/>
          <w:color w:val="auto"/>
          <w:sz w:val="32"/>
          <w:szCs w:val="32"/>
          <w:lang w:val="en-US" w:eastAsia="zh-CN"/>
        </w:rPr>
      </w:pPr>
      <w:bookmarkStart w:id="2" w:name="_Toc525206147"/>
      <w:bookmarkStart w:id="3" w:name="_Toc500430264"/>
      <w:r>
        <w:rPr>
          <w:rFonts w:hint="eastAsia" w:ascii="Times New Roman" w:hAnsi="Times New Roman" w:eastAsia="黑体" w:cs="黑体"/>
          <w:b w:val="0"/>
          <w:bCs w:val="0"/>
          <w:color w:val="auto"/>
          <w:sz w:val="32"/>
          <w:szCs w:val="32"/>
          <w:lang w:val="en-US" w:eastAsia="zh-CN"/>
        </w:rPr>
        <w:t>三、</w:t>
      </w:r>
      <w:r>
        <w:rPr>
          <w:rFonts w:hint="eastAsia" w:ascii="Times New Roman" w:hAnsi="Times New Roman" w:eastAsia="黑体" w:cs="黑体"/>
          <w:b w:val="0"/>
          <w:bCs w:val="0"/>
          <w:color w:val="auto"/>
          <w:sz w:val="32"/>
          <w:szCs w:val="32"/>
        </w:rPr>
        <w:t>试验（或验证）的分析报告、技术经济论证</w:t>
      </w:r>
      <w:bookmarkEnd w:id="2"/>
      <w:r>
        <w:rPr>
          <w:rFonts w:hint="eastAsia" w:ascii="Times New Roman" w:hAnsi="Times New Roman" w:eastAsia="黑体" w:cs="黑体"/>
          <w:b w:val="0"/>
          <w:bCs w:val="0"/>
          <w:color w:val="auto"/>
          <w:sz w:val="32"/>
          <w:szCs w:val="32"/>
          <w:lang w:val="en-US" w:eastAsia="zh-CN"/>
        </w:rPr>
        <w:t>以及预期效益</w:t>
      </w:r>
    </w:p>
    <w:p w14:paraId="5DC4CDA3">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目前国内外对于基因测序与合成技术的研究日益广泛，临床对该技术的需要也越来越强烈。但是由于目前国内外都尚未有成熟标准可供参考，而对于合成基因和测序性能评价的整体思路基本上是一致的。</w:t>
      </w:r>
    </w:p>
    <w:p w14:paraId="52351F19">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在符合国际基因合成联盟（IGSC）生物安全要求下，对于合成基因的DNA序列，本标准规定了合成基因的质量要求（包括纯度、总量、完整度与序列一致性）和质量检测试验方法；Sanger测序指标主要包括对测序样品、测序引物、测序模板用量、反应体系、标记及测序结果（测序读长和QV值）和测序方法。</w:t>
      </w:r>
    </w:p>
    <w:p w14:paraId="401F40DE">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于文献、经验数据以及实验测试数据多方统计基础上，高通量基因测序性能评价标准推荐使用测序读长和通量、碱基识别质量百分比、测序覆盖率和测序平均深度、测序准确率、重复性、软件功能、安全要求、环境试验要求、电磁兼容性要求等指标，其中测序通量是基因测序的代表性指标之一，而高通量测序区别于Sanger测序的明显差别之一在于其测序通量，因此选择测序通量对高通量基因测序结果进行评价毫无争议。测序准确率这一指标可以最直观的表现每次测序结果的精确程度，其对高通量基因测序结果评价具有重要意义。不同测序平台因其测序原理和技术手段不同，具有不同的测序平均读长。测序平均读长过短会影响后续拼接、组装和比对等，从而影响测序效果，因此如需定义一次测序成功与否，也必须对这一指标加以规范。</w:t>
      </w:r>
    </w:p>
    <w:p w14:paraId="6DCFC800">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黑体" w:cs="黑体"/>
          <w:b w:val="0"/>
          <w:bCs w:val="0"/>
          <w:color w:val="auto"/>
          <w:sz w:val="32"/>
          <w:szCs w:val="32"/>
          <w:lang w:val="en-US" w:eastAsia="zh-CN"/>
        </w:rPr>
      </w:pPr>
      <w:r>
        <w:rPr>
          <w:rFonts w:hint="eastAsia" w:ascii="Times New Roman" w:hAnsi="Times New Roman" w:eastAsia="黑体" w:cs="黑体"/>
          <w:b w:val="0"/>
          <w:bCs w:val="0"/>
          <w:color w:val="auto"/>
          <w:kern w:val="44"/>
          <w:sz w:val="32"/>
          <w:szCs w:val="32"/>
          <w:lang w:val="en-US" w:eastAsia="zh-CN" w:bidi="ar-SA"/>
        </w:rPr>
        <w:t>四、与现行相关法</w:t>
      </w:r>
      <w:r>
        <w:rPr>
          <w:rFonts w:hint="eastAsia" w:ascii="Times New Roman" w:hAnsi="Times New Roman" w:eastAsia="黑体" w:cs="黑体"/>
          <w:b w:val="0"/>
          <w:bCs w:val="0"/>
          <w:color w:val="auto"/>
          <w:sz w:val="32"/>
          <w:szCs w:val="32"/>
          <w:lang w:val="en-US" w:eastAsia="zh-CN"/>
        </w:rPr>
        <w:t>律、法规及相关标准的关系</w:t>
      </w:r>
    </w:p>
    <w:p w14:paraId="46DBD969">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本标准严格按照《中华人民共和国标准化法》《团体标准管理规定》执行。本标准根据 GB/T 1.1</w:t>
      </w:r>
      <w:r>
        <w:rPr>
          <w:rFonts w:hint="eastAsia" w:ascii="仿宋_GB2312" w:hAnsi="仿宋_GB2312" w:eastAsia="仿宋_GB2312" w:cs="仿宋_GB2312"/>
          <w:kern w:val="2"/>
          <w:sz w:val="32"/>
          <w:szCs w:val="32"/>
          <w:lang w:val="en-US" w:eastAsia="zh-CN" w:bidi="ar-SA"/>
        </w:rPr>
        <w:t>—2020</w:t>
      </w:r>
      <w:r>
        <w:rPr>
          <w:rFonts w:hint="default" w:ascii="仿宋_GB2312" w:hAnsi="仿宋_GB2312" w:eastAsia="仿宋_GB2312" w:cs="仿宋_GB2312"/>
          <w:kern w:val="2"/>
          <w:sz w:val="32"/>
          <w:szCs w:val="32"/>
          <w:lang w:val="en-US" w:eastAsia="zh-CN" w:bidi="ar-SA"/>
        </w:rPr>
        <w:t>《标准化工作导则</w:t>
      </w:r>
      <w:r>
        <w:rPr>
          <w:rFonts w:hint="eastAsia" w:ascii="仿宋_GB2312" w:hAnsi="仿宋_GB2312" w:eastAsia="仿宋_GB2312" w:cs="仿宋_GB2312"/>
          <w:kern w:val="2"/>
          <w:sz w:val="32"/>
          <w:szCs w:val="32"/>
          <w:lang w:val="en-US" w:eastAsia="zh-CN" w:bidi="ar-SA"/>
        </w:rPr>
        <w:t xml:space="preserve"> 第一部分：标准化文件的结构和起草规则</w:t>
      </w:r>
      <w:r>
        <w:rPr>
          <w:rFonts w:hint="default" w:ascii="仿宋_GB2312" w:hAnsi="仿宋_GB2312" w:eastAsia="仿宋_GB2312" w:cs="仿宋_GB2312"/>
          <w:kern w:val="2"/>
          <w:sz w:val="32"/>
          <w:szCs w:val="32"/>
          <w:lang w:val="en-US" w:eastAsia="zh-CN" w:bidi="ar-SA"/>
        </w:rPr>
        <w:t>》规定的格式编写，内容和要求参照了相关法律规则，引用了现行有效的国家标准和行业标准。因此，本标准与现行法律、法规和强制性标准没有冲突。</w:t>
      </w:r>
    </w:p>
    <w:p w14:paraId="3F003CB6">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黑体" w:cs="黑体"/>
          <w:b w:val="0"/>
          <w:bCs w:val="0"/>
          <w:color w:val="auto"/>
          <w:sz w:val="32"/>
          <w:szCs w:val="32"/>
          <w:lang w:val="en-US" w:eastAsia="zh-CN"/>
        </w:rPr>
      </w:pPr>
      <w:r>
        <w:rPr>
          <w:rFonts w:hint="eastAsia" w:ascii="Times New Roman" w:hAnsi="Times New Roman" w:eastAsia="黑体" w:cs="黑体"/>
          <w:b w:val="0"/>
          <w:bCs w:val="0"/>
          <w:color w:val="auto"/>
          <w:kern w:val="44"/>
          <w:sz w:val="32"/>
          <w:szCs w:val="32"/>
          <w:lang w:val="en-US" w:eastAsia="zh-CN" w:bidi="ar-SA"/>
        </w:rPr>
        <w:t>五、采</w:t>
      </w:r>
      <w:r>
        <w:rPr>
          <w:rFonts w:hint="eastAsia" w:ascii="Times New Roman" w:hAnsi="Times New Roman" w:eastAsia="黑体" w:cs="黑体"/>
          <w:b w:val="0"/>
          <w:bCs w:val="0"/>
          <w:color w:val="auto"/>
          <w:sz w:val="32"/>
          <w:szCs w:val="32"/>
          <w:lang w:val="en-US" w:eastAsia="zh-CN"/>
        </w:rPr>
        <w:t>用国际标准和国外先进标准情况，与国际、国外同类标准水平的对比情况，国内外关键指标对比分析或与测试的国外样品、样机的相关数据对比情况</w:t>
      </w:r>
    </w:p>
    <w:p w14:paraId="24F31E53">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本文件主要参考了以下标准或文件：</w:t>
      </w:r>
    </w:p>
    <w:p w14:paraId="2068F79A">
      <w:pPr>
        <w:pStyle w:val="23"/>
        <w:keepLines w:val="0"/>
        <w:pageBreakBefore w:val="0"/>
        <w:kinsoku/>
        <w:wordWrap/>
        <w:overflowPunct/>
        <w:topLinePunct w:val="0"/>
        <w:bidi w:val="0"/>
        <w:adjustRightInd/>
        <w:snapToGrid/>
        <w:spacing w:line="540" w:lineRule="exac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GB/T 26813-2011 双光束紫外可见分光光度计</w:t>
      </w:r>
    </w:p>
    <w:p w14:paraId="728CC767">
      <w:pPr>
        <w:pStyle w:val="23"/>
        <w:keepLines w:val="0"/>
        <w:pageBreakBefore w:val="0"/>
        <w:kinsoku/>
        <w:wordWrap/>
        <w:overflowPunct/>
        <w:topLinePunct w:val="0"/>
        <w:bidi w:val="0"/>
        <w:adjustRightInd/>
        <w:snapToGrid/>
        <w:spacing w:line="540" w:lineRule="exac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GB/T 6682 分析实验用水规格和试验方法</w:t>
      </w:r>
    </w:p>
    <w:p w14:paraId="7FA6C7C5">
      <w:pPr>
        <w:pStyle w:val="23"/>
        <w:keepLines w:val="0"/>
        <w:pageBreakBefore w:val="0"/>
        <w:kinsoku/>
        <w:wordWrap/>
        <w:overflowPunct/>
        <w:topLinePunct w:val="0"/>
        <w:bidi w:val="0"/>
        <w:adjustRightInd/>
        <w:snapToGrid/>
        <w:spacing w:line="540" w:lineRule="exac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GB/T 27025-2008 检测和校准实验室能力的通用要求</w:t>
      </w:r>
    </w:p>
    <w:p w14:paraId="10C3C253">
      <w:pPr>
        <w:pStyle w:val="23"/>
        <w:keepLines w:val="0"/>
        <w:pageBreakBefore w:val="0"/>
        <w:kinsoku/>
        <w:wordWrap/>
        <w:overflowPunct/>
        <w:topLinePunct w:val="0"/>
        <w:bidi w:val="0"/>
        <w:adjustRightInd/>
        <w:snapToGrid/>
        <w:spacing w:line="540" w:lineRule="exac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GB</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T 37874-2019 核酸提取纯化方法评价通则</w:t>
      </w:r>
    </w:p>
    <w:p w14:paraId="10773EAB">
      <w:pPr>
        <w:pStyle w:val="23"/>
        <w:keepLines w:val="0"/>
        <w:pageBreakBefore w:val="0"/>
        <w:kinsoku/>
        <w:wordWrap/>
        <w:overflowPunct/>
        <w:topLinePunct w:val="0"/>
        <w:bidi w:val="0"/>
        <w:adjustRightInd/>
        <w:snapToGrid/>
        <w:spacing w:line="540" w:lineRule="exac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GB/T 34265-2017 Sanger法测序技术指南</w:t>
      </w:r>
    </w:p>
    <w:p w14:paraId="73E6909B">
      <w:pPr>
        <w:pStyle w:val="23"/>
        <w:keepLines w:val="0"/>
        <w:pageBreakBefore w:val="0"/>
        <w:kinsoku/>
        <w:wordWrap/>
        <w:overflowPunct/>
        <w:topLinePunct w:val="0"/>
        <w:bidi w:val="0"/>
        <w:adjustRightInd/>
        <w:snapToGrid/>
        <w:spacing w:line="540" w:lineRule="exac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GB/T 30989-2014 高通量基因测序技术规程</w:t>
      </w:r>
    </w:p>
    <w:p w14:paraId="272CD3FB">
      <w:pPr>
        <w:pStyle w:val="23"/>
        <w:keepLines w:val="0"/>
        <w:pageBreakBefore w:val="0"/>
        <w:kinsoku/>
        <w:wordWrap/>
        <w:overflowPunct/>
        <w:topLinePunct w:val="0"/>
        <w:bidi w:val="0"/>
        <w:adjustRightInd/>
        <w:snapToGrid/>
        <w:spacing w:line="540" w:lineRule="exac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GB</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T 40664-2021 用于高通量测序的核酸类样本质量控制通用要求</w:t>
      </w:r>
    </w:p>
    <w:p w14:paraId="5741A0AF">
      <w:pPr>
        <w:pStyle w:val="23"/>
        <w:keepLines w:val="0"/>
        <w:pageBreakBefore w:val="0"/>
        <w:kinsoku/>
        <w:wordWrap/>
        <w:overflowPunct/>
        <w:topLinePunct w:val="0"/>
        <w:bidi w:val="0"/>
        <w:adjustRightInd/>
        <w:snapToGrid/>
        <w:spacing w:line="540" w:lineRule="exact"/>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GB/T 37873-2019 合成基因质量评价通则</w:t>
      </w:r>
    </w:p>
    <w:p w14:paraId="4DDC1E17">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firstLine="640" w:firstLineChars="200"/>
        <w:jc w:val="both"/>
        <w:textAlignment w:val="auto"/>
        <w:rPr>
          <w:rFonts w:hint="eastAsia" w:ascii="Times New Roman" w:hAnsi="Times New Roman" w:eastAsia="黑体" w:cs="黑体"/>
          <w:b w:val="0"/>
          <w:bCs w:val="0"/>
          <w:color w:val="auto"/>
          <w:sz w:val="32"/>
          <w:szCs w:val="32"/>
          <w:lang w:val="en-US" w:eastAsia="zh-CN"/>
        </w:rPr>
      </w:pPr>
      <w:r>
        <w:rPr>
          <w:rFonts w:hint="eastAsia" w:ascii="Times New Roman" w:hAnsi="Times New Roman" w:eastAsia="黑体" w:cs="黑体"/>
          <w:b w:val="0"/>
          <w:bCs w:val="0"/>
          <w:color w:val="auto"/>
          <w:sz w:val="32"/>
          <w:szCs w:val="32"/>
          <w:lang w:val="en-US" w:eastAsia="zh-CN"/>
        </w:rPr>
        <w:t>六、标准中如果涉及专利，应有明确的知识产权说明</w:t>
      </w:r>
    </w:p>
    <w:p w14:paraId="44E73437">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本标准的内容未涉及专利。</w:t>
      </w:r>
    </w:p>
    <w:p w14:paraId="7F2F6B21">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eastAsia" w:ascii="Times New Roman" w:hAnsi="Times New Roman" w:eastAsia="黑体" w:cs="黑体"/>
          <w:b w:val="0"/>
          <w:bCs w:val="0"/>
          <w:color w:val="auto"/>
          <w:kern w:val="44"/>
          <w:sz w:val="32"/>
          <w:szCs w:val="32"/>
          <w:lang w:val="en-US" w:eastAsia="zh-CN" w:bidi="ar-SA"/>
        </w:rPr>
      </w:pPr>
      <w:bookmarkStart w:id="4" w:name="_Toc525206149"/>
      <w:bookmarkStart w:id="5" w:name="_Toc500430265"/>
      <w:r>
        <w:rPr>
          <w:rFonts w:hint="eastAsia" w:ascii="Times New Roman" w:hAnsi="Times New Roman" w:eastAsia="黑体" w:cs="黑体"/>
          <w:b w:val="0"/>
          <w:bCs w:val="0"/>
          <w:color w:val="auto"/>
          <w:kern w:val="44"/>
          <w:sz w:val="32"/>
          <w:szCs w:val="32"/>
          <w:lang w:val="en-US" w:eastAsia="zh-CN" w:bidi="ar-SA"/>
        </w:rPr>
        <w:t>七、重大分歧意见的处理过程、处理意见及其依据</w:t>
      </w:r>
      <w:bookmarkEnd w:id="4"/>
    </w:p>
    <w:p w14:paraId="251B151A">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本标准在制定过程中无重大分歧意见。</w:t>
      </w:r>
    </w:p>
    <w:bookmarkEnd w:id="5"/>
    <w:p w14:paraId="6D1CBE5F">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Times New Roman" w:hAnsi="Times New Roman" w:eastAsia="黑体" w:cs="黑体"/>
          <w:b w:val="0"/>
          <w:bCs w:val="0"/>
          <w:color w:val="auto"/>
          <w:sz w:val="32"/>
          <w:szCs w:val="32"/>
          <w:lang w:val="en-US" w:eastAsia="zh-CN"/>
        </w:rPr>
      </w:pPr>
      <w:r>
        <w:rPr>
          <w:rFonts w:hint="eastAsia" w:ascii="Times New Roman" w:hAnsi="Times New Roman" w:eastAsia="黑体" w:cs="黑体"/>
          <w:b w:val="0"/>
          <w:bCs w:val="0"/>
          <w:color w:val="auto"/>
          <w:sz w:val="32"/>
          <w:szCs w:val="32"/>
          <w:lang w:val="en-US" w:eastAsia="zh-CN"/>
        </w:rPr>
        <w:t>八、实施标准的要求以及相关措施建议</w:t>
      </w:r>
    </w:p>
    <w:p w14:paraId="6904C409">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建议在本标准发布后实施前进行标准宣贯，宣贯对象是企业、各级医疗器械监管部门。</w:t>
      </w:r>
    </w:p>
    <w:p w14:paraId="243A0BC0">
      <w:pPr>
        <w:pStyle w:val="3"/>
        <w:keepNext/>
        <w:keepLines/>
        <w:pageBreakBefore w:val="0"/>
        <w:widowControl w:val="0"/>
        <w:numPr>
          <w:ilvl w:val="0"/>
          <w:numId w:val="0"/>
        </w:numPr>
        <w:kinsoku/>
        <w:wordWrap/>
        <w:overflowPunct/>
        <w:topLinePunct w:val="0"/>
        <w:autoSpaceDE/>
        <w:autoSpaceDN/>
        <w:bidi w:val="0"/>
        <w:adjustRightInd/>
        <w:snapToGrid/>
        <w:spacing w:before="0" w:after="0" w:line="540" w:lineRule="exact"/>
        <w:ind w:leftChars="0" w:firstLine="640" w:firstLineChars="200"/>
        <w:jc w:val="both"/>
        <w:textAlignment w:val="auto"/>
        <w:rPr>
          <w:rFonts w:hint="eastAsia" w:ascii="Times New Roman" w:hAnsi="Times New Roman" w:eastAsia="黑体" w:cs="黑体"/>
          <w:b w:val="0"/>
          <w:bCs w:val="0"/>
          <w:color w:val="auto"/>
          <w:sz w:val="32"/>
          <w:szCs w:val="32"/>
        </w:rPr>
      </w:pPr>
      <w:r>
        <w:rPr>
          <w:rFonts w:hint="eastAsia" w:ascii="Times New Roman" w:hAnsi="Times New Roman" w:eastAsia="黑体" w:cs="黑体"/>
          <w:b w:val="0"/>
          <w:bCs w:val="0"/>
          <w:color w:val="auto"/>
          <w:sz w:val="32"/>
          <w:szCs w:val="32"/>
          <w:lang w:val="en-US" w:eastAsia="zh-CN"/>
        </w:rPr>
        <w:t>九、</w:t>
      </w:r>
      <w:r>
        <w:rPr>
          <w:rFonts w:hint="eastAsia" w:ascii="Times New Roman" w:hAnsi="Times New Roman" w:eastAsia="黑体" w:cs="黑体"/>
          <w:b w:val="0"/>
          <w:bCs w:val="0"/>
          <w:color w:val="auto"/>
          <w:sz w:val="32"/>
          <w:szCs w:val="32"/>
        </w:rPr>
        <w:t>其他应当说明的事项</w:t>
      </w:r>
    </w:p>
    <w:p w14:paraId="4E1796FC">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color w:val="auto"/>
          <w:sz w:val="32"/>
          <w:szCs w:val="32"/>
          <w:lang w:val="en-US" w:eastAsia="zh-CN"/>
        </w:rPr>
      </w:pPr>
      <w:r>
        <w:rPr>
          <w:rFonts w:hint="eastAsia" w:ascii="仿宋_GB2312" w:hAnsi="仿宋_GB2312" w:eastAsia="仿宋_GB2312" w:cs="仿宋_GB2312"/>
          <w:sz w:val="32"/>
          <w:szCs w:val="32"/>
          <w:lang w:val="en-US" w:eastAsia="zh-CN"/>
        </w:rPr>
        <w:t>无。</w:t>
      </w:r>
    </w:p>
    <w:p w14:paraId="298118B4">
      <w:pPr>
        <w:pStyle w:val="31"/>
        <w:keepNext w:val="0"/>
        <w:keepLines w:val="0"/>
        <w:pageBreakBefore w:val="0"/>
        <w:widowControl w:val="0"/>
        <w:kinsoku/>
        <w:wordWrap/>
        <w:overflowPunct/>
        <w:topLinePunct w:val="0"/>
        <w:autoSpaceDE/>
        <w:autoSpaceDN/>
        <w:bidi w:val="0"/>
        <w:adjustRightInd/>
        <w:snapToGrid/>
        <w:spacing w:beforeLines="0" w:afterLines="0" w:line="570" w:lineRule="exact"/>
        <w:ind w:left="0" w:leftChars="0" w:firstLine="0" w:firstLineChars="0"/>
        <w:jc w:val="both"/>
        <w:textAlignment w:val="auto"/>
        <w:rPr>
          <w:rFonts w:hint="eastAsia" w:ascii="Times New Roman" w:hAnsi="Times New Roman" w:eastAsia="仿宋_GB2312"/>
          <w:color w:val="auto"/>
          <w:sz w:val="32"/>
          <w:szCs w:val="32"/>
          <w:lang w:val="en-US" w:eastAsia="zh-CN"/>
        </w:rPr>
      </w:pPr>
      <w:r>
        <w:rPr>
          <w:rFonts w:hint="eastAsia" w:ascii="Times New Roman" w:hAnsi="Times New Roman" w:eastAsia="仿宋_GB2312"/>
          <w:color w:val="auto"/>
          <w:sz w:val="32"/>
          <w:szCs w:val="32"/>
          <w:lang w:val="en-US" w:eastAsia="zh-CN"/>
        </w:rPr>
        <w:br w:type="textWrapping"/>
      </w:r>
    </w:p>
    <w:p w14:paraId="5F51D57B">
      <w:pPr>
        <w:pStyle w:val="31"/>
        <w:keepNext w:val="0"/>
        <w:keepLines w:val="0"/>
        <w:pageBreakBefore w:val="0"/>
        <w:widowControl w:val="0"/>
        <w:kinsoku/>
        <w:wordWrap/>
        <w:overflowPunct/>
        <w:topLinePunct w:val="0"/>
        <w:autoSpaceDE/>
        <w:autoSpaceDN/>
        <w:bidi w:val="0"/>
        <w:adjustRightInd/>
        <w:snapToGrid/>
        <w:spacing w:beforeLines="0" w:afterLines="0" w:line="570" w:lineRule="exact"/>
        <w:jc w:val="right"/>
        <w:textAlignment w:val="auto"/>
        <w:rPr>
          <w:rFonts w:hint="eastAsia" w:ascii="仿宋_GB2312" w:hAnsi="仿宋_GB2312" w:eastAsia="仿宋_GB2312" w:cs="仿宋_GB2312"/>
          <w:color w:val="auto"/>
          <w:sz w:val="32"/>
          <w:szCs w:val="32"/>
        </w:rPr>
      </w:pPr>
      <w:r>
        <w:rPr>
          <w:rFonts w:hint="eastAsia" w:ascii="Times New Roman" w:hAnsi="Times New Roman" w:eastAsia="仿宋_GB2312"/>
          <w:color w:val="auto"/>
          <w:sz w:val="32"/>
          <w:szCs w:val="32"/>
          <w:lang w:val="en-US" w:eastAsia="zh-CN"/>
        </w:rPr>
        <w:t xml:space="preserve"> </w:t>
      </w:r>
      <w:bookmarkStart w:id="6" w:name="_GoBack"/>
      <w:bookmarkEnd w:id="6"/>
      <w:r>
        <w:rPr>
          <w:rFonts w:hint="eastAsia" w:ascii="仿宋_GB2312" w:hAnsi="仿宋_GB2312" w:eastAsia="仿宋_GB2312" w:cs="仿宋_GB2312"/>
          <w:color w:val="auto"/>
          <w:sz w:val="32"/>
          <w:szCs w:val="32"/>
        </w:rPr>
        <w:t>《基因测序与合成工艺</w:t>
      </w:r>
      <w:r>
        <w:rPr>
          <w:rFonts w:hint="eastAsia" w:ascii="仿宋_GB2312" w:hAnsi="仿宋_GB2312" w:eastAsia="仿宋_GB2312" w:cs="仿宋_GB2312"/>
          <w:kern w:val="2"/>
          <w:sz w:val="32"/>
          <w:szCs w:val="32"/>
          <w:lang w:val="en-US" w:eastAsia="zh-CN" w:bidi="ar-SA"/>
        </w:rPr>
        <w:t>技术要求</w:t>
      </w:r>
      <w:r>
        <w:rPr>
          <w:rFonts w:hint="eastAsia" w:ascii="仿宋_GB2312" w:hAnsi="仿宋_GB2312" w:eastAsia="仿宋_GB2312" w:cs="仿宋_GB2312"/>
          <w:color w:val="auto"/>
          <w:sz w:val="32"/>
          <w:szCs w:val="32"/>
        </w:rPr>
        <w:t>》团体</w:t>
      </w:r>
      <w:r>
        <w:rPr>
          <w:rFonts w:hint="eastAsia" w:ascii="仿宋_GB2312" w:hAnsi="仿宋_GB2312" w:eastAsia="仿宋_GB2312" w:cs="仿宋_GB2312"/>
          <w:color w:val="auto"/>
          <w:sz w:val="32"/>
          <w:szCs w:val="32"/>
          <w:lang w:eastAsia="zh-CN"/>
        </w:rPr>
        <w:t>标准</w:t>
      </w:r>
      <w:r>
        <w:rPr>
          <w:rFonts w:hint="eastAsia" w:ascii="仿宋_GB2312" w:hAnsi="仿宋_GB2312" w:eastAsia="仿宋_GB2312" w:cs="仿宋_GB2312"/>
          <w:color w:val="auto"/>
          <w:sz w:val="32"/>
          <w:szCs w:val="32"/>
        </w:rPr>
        <w:t>起草组</w:t>
      </w:r>
    </w:p>
    <w:p w14:paraId="184C0AEC">
      <w:pPr>
        <w:pStyle w:val="31"/>
        <w:keepNext w:val="0"/>
        <w:keepLines w:val="0"/>
        <w:pageBreakBefore w:val="0"/>
        <w:widowControl w:val="0"/>
        <w:kinsoku/>
        <w:wordWrap/>
        <w:overflowPunct/>
        <w:topLinePunct w:val="0"/>
        <w:autoSpaceDE/>
        <w:autoSpaceDN/>
        <w:bidi w:val="0"/>
        <w:adjustRightInd/>
        <w:snapToGrid/>
        <w:spacing w:beforeLines="0" w:afterLines="0" w:line="570" w:lineRule="exact"/>
        <w:ind w:firstLine="7040" w:firstLineChars="2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月</w:t>
      </w:r>
      <w:bookmarkEnd w:id="3"/>
    </w:p>
    <w:sectPr>
      <w:footerReference r:id="rId3" w:type="default"/>
      <w:pgSz w:w="11906" w:h="16838"/>
      <w:pgMar w:top="2098" w:right="1474" w:bottom="1984" w:left="1587" w:header="851" w:footer="992" w:gutter="0"/>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ingLiU">
    <w:altName w:val="PMingLiU-ExtB"/>
    <w:panose1 w:val="02010609000101010101"/>
    <w:charset w:val="88"/>
    <w:family w:val="modern"/>
    <w:pitch w:val="default"/>
    <w:sig w:usb0="00000000" w:usb1="00000000" w:usb2="00000010" w:usb3="00000000" w:csb0="0010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0555938"/>
      <w:docPartObj>
        <w:docPartGallery w:val="autotext"/>
      </w:docPartObj>
    </w:sdtPr>
    <w:sdtEndPr>
      <w:rPr>
        <w:rFonts w:hint="eastAsia" w:ascii="仿宋_GB2312" w:eastAsia="仿宋_GB2312"/>
      </w:rPr>
    </w:sdtEndPr>
    <w:sdtContent>
      <w:p w14:paraId="624F5E49">
        <w:pPr>
          <w:pStyle w:val="8"/>
          <w:jc w:val="center"/>
          <w:rPr>
            <w:rFonts w:ascii="仿宋_GB2312" w:eastAsia="仿宋_GB2312"/>
          </w:rPr>
        </w:pPr>
        <w:r>
          <w:rPr>
            <w:rFonts w:hint="eastAsia" w:ascii="仿宋_GB2312" w:eastAsia="仿宋_GB2312"/>
          </w:rPr>
          <w:fldChar w:fldCharType="begin"/>
        </w:r>
        <w:r>
          <w:rPr>
            <w:rFonts w:hint="eastAsia" w:ascii="仿宋_GB2312" w:eastAsia="仿宋_GB2312"/>
          </w:rPr>
          <w:instrText xml:space="preserve">PAGE   \* MERGEFORMAT</w:instrText>
        </w:r>
        <w:r>
          <w:rPr>
            <w:rFonts w:hint="eastAsia" w:ascii="仿宋_GB2312" w:eastAsia="仿宋_GB2312"/>
          </w:rPr>
          <w:fldChar w:fldCharType="separate"/>
        </w:r>
        <w:r>
          <w:rPr>
            <w:rFonts w:ascii="仿宋_GB2312" w:eastAsia="仿宋_GB2312"/>
            <w:lang w:val="zh-CN"/>
          </w:rPr>
          <w:t>6</w:t>
        </w:r>
        <w:r>
          <w:rPr>
            <w:rFonts w:hint="eastAsia" w:ascii="仿宋_GB2312" w:eastAsia="仿宋_GB2312"/>
          </w:rPr>
          <w:fldChar w:fldCharType="end"/>
        </w:r>
      </w:p>
    </w:sdtContent>
  </w:sdt>
  <w:p w14:paraId="756B21B8">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C91163"/>
    <w:multiLevelType w:val="multilevel"/>
    <w:tmpl w:val="1FC91163"/>
    <w:lvl w:ilvl="0" w:tentative="0">
      <w:start w:val="1"/>
      <w:numFmt w:val="decimal"/>
      <w:pStyle w:val="26"/>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25"/>
      <w:suff w:val="nothing"/>
      <w:lvlText w:val="%1.%2　"/>
      <w:lvlJc w:val="left"/>
      <w:pPr>
        <w:ind w:left="42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14:shadow w14:blurRad="0" w14:dist="0" w14:dir="0" w14:sx="0" w14:sy="0" w14:kx="0" w14:ky="0" w14:algn="none">
          <w14:srgbClr w14:val="000000"/>
        </w14:shadow>
      </w:rPr>
    </w:lvl>
    <w:lvl w:ilvl="2" w:tentative="0">
      <w:start w:val="1"/>
      <w:numFmt w:val="decimal"/>
      <w:pStyle w:val="27"/>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pStyle w:val="28"/>
      <w:suff w:val="nothing"/>
      <w:lvlText w:val="%1.%2.%3.%4.%5　"/>
      <w:lvlJc w:val="left"/>
      <w:pPr>
        <w:ind w:left="0" w:firstLine="0"/>
      </w:pPr>
      <w:rPr>
        <w:rFonts w:hint="eastAsia" w:ascii="黑体" w:hAnsi="Times New Roman" w:eastAsia="黑体"/>
        <w:b w:val="0"/>
        <w:i w:val="0"/>
        <w:sz w:val="21"/>
      </w:rPr>
    </w:lvl>
    <w:lvl w:ilvl="5" w:tentative="0">
      <w:start w:val="1"/>
      <w:numFmt w:val="decimal"/>
      <w:pStyle w:val="29"/>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3ZjBiYTM5YzYxNDE1MjhiM2EzOWIzOGY4MmQ4N2MifQ=="/>
    <w:docVar w:name="KSO_WPS_MARK_KEY" w:val="64525117-4f8d-446b-a0fa-dd02b2835e2c"/>
  </w:docVars>
  <w:rsids>
    <w:rsidRoot w:val="00BE322A"/>
    <w:rsid w:val="00015AC7"/>
    <w:rsid w:val="00022A36"/>
    <w:rsid w:val="00023F47"/>
    <w:rsid w:val="0002554B"/>
    <w:rsid w:val="000265A1"/>
    <w:rsid w:val="000305B6"/>
    <w:rsid w:val="00033339"/>
    <w:rsid w:val="00042054"/>
    <w:rsid w:val="00043386"/>
    <w:rsid w:val="00052685"/>
    <w:rsid w:val="00052A96"/>
    <w:rsid w:val="00053A81"/>
    <w:rsid w:val="0005418C"/>
    <w:rsid w:val="0006163A"/>
    <w:rsid w:val="000616B7"/>
    <w:rsid w:val="00064EBB"/>
    <w:rsid w:val="00072996"/>
    <w:rsid w:val="0007766E"/>
    <w:rsid w:val="00077B3D"/>
    <w:rsid w:val="00082242"/>
    <w:rsid w:val="00094784"/>
    <w:rsid w:val="000A4CEE"/>
    <w:rsid w:val="000B1E1D"/>
    <w:rsid w:val="000C0C6B"/>
    <w:rsid w:val="000C2EC0"/>
    <w:rsid w:val="000C37ED"/>
    <w:rsid w:val="000C7C6F"/>
    <w:rsid w:val="000D009A"/>
    <w:rsid w:val="000D06A6"/>
    <w:rsid w:val="000D0AF1"/>
    <w:rsid w:val="000D518E"/>
    <w:rsid w:val="000E371B"/>
    <w:rsid w:val="000E5BD2"/>
    <w:rsid w:val="000F3575"/>
    <w:rsid w:val="000F3CE6"/>
    <w:rsid w:val="000F734F"/>
    <w:rsid w:val="00102206"/>
    <w:rsid w:val="00102844"/>
    <w:rsid w:val="00105E38"/>
    <w:rsid w:val="00111B5B"/>
    <w:rsid w:val="00113025"/>
    <w:rsid w:val="00121E6D"/>
    <w:rsid w:val="0012361E"/>
    <w:rsid w:val="00123A05"/>
    <w:rsid w:val="00130E35"/>
    <w:rsid w:val="00136843"/>
    <w:rsid w:val="00140EC5"/>
    <w:rsid w:val="001412CF"/>
    <w:rsid w:val="001428B7"/>
    <w:rsid w:val="001536C4"/>
    <w:rsid w:val="00162990"/>
    <w:rsid w:val="001642C5"/>
    <w:rsid w:val="00171B07"/>
    <w:rsid w:val="00171E2E"/>
    <w:rsid w:val="0017268A"/>
    <w:rsid w:val="00180FD1"/>
    <w:rsid w:val="001A08C9"/>
    <w:rsid w:val="001A6846"/>
    <w:rsid w:val="001B0BD1"/>
    <w:rsid w:val="001B1816"/>
    <w:rsid w:val="001C171D"/>
    <w:rsid w:val="001C17B3"/>
    <w:rsid w:val="001C6719"/>
    <w:rsid w:val="001D1C64"/>
    <w:rsid w:val="001D50A2"/>
    <w:rsid w:val="001E027A"/>
    <w:rsid w:val="001E4BB2"/>
    <w:rsid w:val="001E519C"/>
    <w:rsid w:val="001E6329"/>
    <w:rsid w:val="001F10E3"/>
    <w:rsid w:val="001F151B"/>
    <w:rsid w:val="00200B3A"/>
    <w:rsid w:val="00203F6E"/>
    <w:rsid w:val="0020603C"/>
    <w:rsid w:val="002105C3"/>
    <w:rsid w:val="00212CA0"/>
    <w:rsid w:val="0022263F"/>
    <w:rsid w:val="002348C4"/>
    <w:rsid w:val="00237F87"/>
    <w:rsid w:val="00244AFE"/>
    <w:rsid w:val="002456F6"/>
    <w:rsid w:val="00251ECB"/>
    <w:rsid w:val="0025565D"/>
    <w:rsid w:val="00263CD8"/>
    <w:rsid w:val="0027016F"/>
    <w:rsid w:val="0027793D"/>
    <w:rsid w:val="00286402"/>
    <w:rsid w:val="00286E3F"/>
    <w:rsid w:val="002924A5"/>
    <w:rsid w:val="002935C9"/>
    <w:rsid w:val="002942F9"/>
    <w:rsid w:val="002A11D1"/>
    <w:rsid w:val="002A1E77"/>
    <w:rsid w:val="002A32B4"/>
    <w:rsid w:val="002A7D53"/>
    <w:rsid w:val="002B1FCC"/>
    <w:rsid w:val="002B3942"/>
    <w:rsid w:val="002B4132"/>
    <w:rsid w:val="002C7275"/>
    <w:rsid w:val="002D0899"/>
    <w:rsid w:val="002D3C9F"/>
    <w:rsid w:val="002D5838"/>
    <w:rsid w:val="002D718A"/>
    <w:rsid w:val="002F01DD"/>
    <w:rsid w:val="002F2AB2"/>
    <w:rsid w:val="002F4488"/>
    <w:rsid w:val="00313407"/>
    <w:rsid w:val="00317911"/>
    <w:rsid w:val="00320F49"/>
    <w:rsid w:val="003213A2"/>
    <w:rsid w:val="00322CA7"/>
    <w:rsid w:val="00323F42"/>
    <w:rsid w:val="00324730"/>
    <w:rsid w:val="0032567E"/>
    <w:rsid w:val="0033086E"/>
    <w:rsid w:val="00330C4B"/>
    <w:rsid w:val="003354D4"/>
    <w:rsid w:val="00337684"/>
    <w:rsid w:val="00337A15"/>
    <w:rsid w:val="00343206"/>
    <w:rsid w:val="00343B1E"/>
    <w:rsid w:val="00355488"/>
    <w:rsid w:val="00355CC4"/>
    <w:rsid w:val="00356EFF"/>
    <w:rsid w:val="00360AF0"/>
    <w:rsid w:val="00367355"/>
    <w:rsid w:val="0037004A"/>
    <w:rsid w:val="00372E5F"/>
    <w:rsid w:val="00374F14"/>
    <w:rsid w:val="00382666"/>
    <w:rsid w:val="0039437A"/>
    <w:rsid w:val="00394689"/>
    <w:rsid w:val="003A42C2"/>
    <w:rsid w:val="003A7F4A"/>
    <w:rsid w:val="003B256F"/>
    <w:rsid w:val="003B3E25"/>
    <w:rsid w:val="003B42B7"/>
    <w:rsid w:val="003B44C5"/>
    <w:rsid w:val="003B4FE7"/>
    <w:rsid w:val="003B58FE"/>
    <w:rsid w:val="003C2767"/>
    <w:rsid w:val="003C368C"/>
    <w:rsid w:val="003D64AF"/>
    <w:rsid w:val="003E0258"/>
    <w:rsid w:val="003E180A"/>
    <w:rsid w:val="003E3D15"/>
    <w:rsid w:val="003E6647"/>
    <w:rsid w:val="003F1C3B"/>
    <w:rsid w:val="003F1D02"/>
    <w:rsid w:val="00403B1F"/>
    <w:rsid w:val="00406DFF"/>
    <w:rsid w:val="004115F6"/>
    <w:rsid w:val="00412470"/>
    <w:rsid w:val="00415BC3"/>
    <w:rsid w:val="00425258"/>
    <w:rsid w:val="004276A7"/>
    <w:rsid w:val="00445F08"/>
    <w:rsid w:val="00454895"/>
    <w:rsid w:val="004558E0"/>
    <w:rsid w:val="00461BD3"/>
    <w:rsid w:val="00467016"/>
    <w:rsid w:val="00467933"/>
    <w:rsid w:val="00481472"/>
    <w:rsid w:val="00485033"/>
    <w:rsid w:val="00485F9A"/>
    <w:rsid w:val="0048646E"/>
    <w:rsid w:val="00487D41"/>
    <w:rsid w:val="00493561"/>
    <w:rsid w:val="00495468"/>
    <w:rsid w:val="004A2241"/>
    <w:rsid w:val="004A26DD"/>
    <w:rsid w:val="004A3069"/>
    <w:rsid w:val="004B1B50"/>
    <w:rsid w:val="004B3205"/>
    <w:rsid w:val="004B78C4"/>
    <w:rsid w:val="004C15B8"/>
    <w:rsid w:val="004C46B8"/>
    <w:rsid w:val="004C6611"/>
    <w:rsid w:val="004C6DDE"/>
    <w:rsid w:val="004D0B34"/>
    <w:rsid w:val="004D53F3"/>
    <w:rsid w:val="004E14D8"/>
    <w:rsid w:val="004E595D"/>
    <w:rsid w:val="004F019B"/>
    <w:rsid w:val="004F0CBA"/>
    <w:rsid w:val="004F3CD9"/>
    <w:rsid w:val="004F4A60"/>
    <w:rsid w:val="004F6BA4"/>
    <w:rsid w:val="00506CCF"/>
    <w:rsid w:val="00512708"/>
    <w:rsid w:val="005166B9"/>
    <w:rsid w:val="00517510"/>
    <w:rsid w:val="005201C9"/>
    <w:rsid w:val="00521352"/>
    <w:rsid w:val="005304EF"/>
    <w:rsid w:val="00532FF1"/>
    <w:rsid w:val="00535279"/>
    <w:rsid w:val="00537463"/>
    <w:rsid w:val="00540AE9"/>
    <w:rsid w:val="00540F37"/>
    <w:rsid w:val="00541804"/>
    <w:rsid w:val="0054446D"/>
    <w:rsid w:val="0057065F"/>
    <w:rsid w:val="005735C3"/>
    <w:rsid w:val="00590833"/>
    <w:rsid w:val="005914A0"/>
    <w:rsid w:val="00591A26"/>
    <w:rsid w:val="005928EB"/>
    <w:rsid w:val="005A3462"/>
    <w:rsid w:val="005A42E7"/>
    <w:rsid w:val="005A46F5"/>
    <w:rsid w:val="005B064E"/>
    <w:rsid w:val="005B6F6E"/>
    <w:rsid w:val="005C2FB6"/>
    <w:rsid w:val="005C326E"/>
    <w:rsid w:val="005D1652"/>
    <w:rsid w:val="005D550F"/>
    <w:rsid w:val="005D77F1"/>
    <w:rsid w:val="005E06CA"/>
    <w:rsid w:val="005E1700"/>
    <w:rsid w:val="005E2916"/>
    <w:rsid w:val="005E2918"/>
    <w:rsid w:val="005E552E"/>
    <w:rsid w:val="005F28CA"/>
    <w:rsid w:val="0060009B"/>
    <w:rsid w:val="00602FA8"/>
    <w:rsid w:val="00605CF6"/>
    <w:rsid w:val="00606E23"/>
    <w:rsid w:val="0060753B"/>
    <w:rsid w:val="006076CE"/>
    <w:rsid w:val="00610001"/>
    <w:rsid w:val="006138F0"/>
    <w:rsid w:val="006174BA"/>
    <w:rsid w:val="00617773"/>
    <w:rsid w:val="00617A54"/>
    <w:rsid w:val="006329D3"/>
    <w:rsid w:val="00632E74"/>
    <w:rsid w:val="006350FC"/>
    <w:rsid w:val="006361AC"/>
    <w:rsid w:val="0064109B"/>
    <w:rsid w:val="006426B2"/>
    <w:rsid w:val="0064312B"/>
    <w:rsid w:val="00643242"/>
    <w:rsid w:val="00652DFC"/>
    <w:rsid w:val="00654DFA"/>
    <w:rsid w:val="006552A4"/>
    <w:rsid w:val="006573F9"/>
    <w:rsid w:val="00660AEF"/>
    <w:rsid w:val="00661410"/>
    <w:rsid w:val="006668C9"/>
    <w:rsid w:val="00671FDF"/>
    <w:rsid w:val="00672136"/>
    <w:rsid w:val="00674586"/>
    <w:rsid w:val="00675842"/>
    <w:rsid w:val="00685F50"/>
    <w:rsid w:val="00690617"/>
    <w:rsid w:val="006A2C58"/>
    <w:rsid w:val="006A3426"/>
    <w:rsid w:val="006B6F9C"/>
    <w:rsid w:val="006C3307"/>
    <w:rsid w:val="006C3F29"/>
    <w:rsid w:val="006C5673"/>
    <w:rsid w:val="006C6B05"/>
    <w:rsid w:val="006D3854"/>
    <w:rsid w:val="006D5B0C"/>
    <w:rsid w:val="006D5FB2"/>
    <w:rsid w:val="006D759C"/>
    <w:rsid w:val="006E14A7"/>
    <w:rsid w:val="00700EA6"/>
    <w:rsid w:val="00701D58"/>
    <w:rsid w:val="00703792"/>
    <w:rsid w:val="00711346"/>
    <w:rsid w:val="007151F8"/>
    <w:rsid w:val="00721C8C"/>
    <w:rsid w:val="007245AB"/>
    <w:rsid w:val="00726470"/>
    <w:rsid w:val="007314A7"/>
    <w:rsid w:val="007316CF"/>
    <w:rsid w:val="00735EE0"/>
    <w:rsid w:val="0074033B"/>
    <w:rsid w:val="007437D3"/>
    <w:rsid w:val="00745F82"/>
    <w:rsid w:val="0075111F"/>
    <w:rsid w:val="00751F87"/>
    <w:rsid w:val="00753E69"/>
    <w:rsid w:val="0076052C"/>
    <w:rsid w:val="00761981"/>
    <w:rsid w:val="007632A7"/>
    <w:rsid w:val="00766F3C"/>
    <w:rsid w:val="007730FA"/>
    <w:rsid w:val="007747A2"/>
    <w:rsid w:val="0077615F"/>
    <w:rsid w:val="00783E11"/>
    <w:rsid w:val="007843FE"/>
    <w:rsid w:val="00791A2F"/>
    <w:rsid w:val="007929A7"/>
    <w:rsid w:val="00793008"/>
    <w:rsid w:val="007936E1"/>
    <w:rsid w:val="007953D7"/>
    <w:rsid w:val="007969B3"/>
    <w:rsid w:val="007A12CA"/>
    <w:rsid w:val="007A204D"/>
    <w:rsid w:val="007A3EC2"/>
    <w:rsid w:val="007A71E2"/>
    <w:rsid w:val="007B47C3"/>
    <w:rsid w:val="007C0E91"/>
    <w:rsid w:val="007C6F58"/>
    <w:rsid w:val="007D22C9"/>
    <w:rsid w:val="007D71CA"/>
    <w:rsid w:val="007F167A"/>
    <w:rsid w:val="007F3152"/>
    <w:rsid w:val="007F4CC7"/>
    <w:rsid w:val="00801656"/>
    <w:rsid w:val="008041D8"/>
    <w:rsid w:val="0081097C"/>
    <w:rsid w:val="00811D02"/>
    <w:rsid w:val="0081543F"/>
    <w:rsid w:val="0081600A"/>
    <w:rsid w:val="00816653"/>
    <w:rsid w:val="00822FA4"/>
    <w:rsid w:val="00823016"/>
    <w:rsid w:val="00825B8D"/>
    <w:rsid w:val="00834FC6"/>
    <w:rsid w:val="00842447"/>
    <w:rsid w:val="00845990"/>
    <w:rsid w:val="00845E59"/>
    <w:rsid w:val="00846378"/>
    <w:rsid w:val="008525CC"/>
    <w:rsid w:val="00853671"/>
    <w:rsid w:val="0085405C"/>
    <w:rsid w:val="00854F51"/>
    <w:rsid w:val="00854F8A"/>
    <w:rsid w:val="0085724C"/>
    <w:rsid w:val="00857955"/>
    <w:rsid w:val="0086019B"/>
    <w:rsid w:val="0086356E"/>
    <w:rsid w:val="008645CC"/>
    <w:rsid w:val="0086528F"/>
    <w:rsid w:val="0087647E"/>
    <w:rsid w:val="008802DB"/>
    <w:rsid w:val="0088204B"/>
    <w:rsid w:val="008862A7"/>
    <w:rsid w:val="00886C74"/>
    <w:rsid w:val="00891821"/>
    <w:rsid w:val="00892900"/>
    <w:rsid w:val="008A09FE"/>
    <w:rsid w:val="008A4BD4"/>
    <w:rsid w:val="008A4DFA"/>
    <w:rsid w:val="008A617C"/>
    <w:rsid w:val="008A684B"/>
    <w:rsid w:val="008B55F8"/>
    <w:rsid w:val="008B5802"/>
    <w:rsid w:val="008B7C3C"/>
    <w:rsid w:val="008C11D9"/>
    <w:rsid w:val="008C4911"/>
    <w:rsid w:val="008C65FE"/>
    <w:rsid w:val="008C76A0"/>
    <w:rsid w:val="008D0469"/>
    <w:rsid w:val="008D04E2"/>
    <w:rsid w:val="008D1535"/>
    <w:rsid w:val="008D24A6"/>
    <w:rsid w:val="008D4234"/>
    <w:rsid w:val="008F02CB"/>
    <w:rsid w:val="008F2847"/>
    <w:rsid w:val="008F28FC"/>
    <w:rsid w:val="008F2CFA"/>
    <w:rsid w:val="008F36AC"/>
    <w:rsid w:val="008F6C9A"/>
    <w:rsid w:val="009005F2"/>
    <w:rsid w:val="00904FE8"/>
    <w:rsid w:val="00907EBC"/>
    <w:rsid w:val="00930806"/>
    <w:rsid w:val="009315E5"/>
    <w:rsid w:val="00932684"/>
    <w:rsid w:val="0094004B"/>
    <w:rsid w:val="00940EFA"/>
    <w:rsid w:val="009467F8"/>
    <w:rsid w:val="0094687F"/>
    <w:rsid w:val="009540DE"/>
    <w:rsid w:val="00962045"/>
    <w:rsid w:val="00965FBF"/>
    <w:rsid w:val="00974158"/>
    <w:rsid w:val="00976EE7"/>
    <w:rsid w:val="00982E1E"/>
    <w:rsid w:val="009950A9"/>
    <w:rsid w:val="0099744D"/>
    <w:rsid w:val="009A16AE"/>
    <w:rsid w:val="009A54FA"/>
    <w:rsid w:val="009A7A37"/>
    <w:rsid w:val="009A7A53"/>
    <w:rsid w:val="009B16BE"/>
    <w:rsid w:val="009C2ABA"/>
    <w:rsid w:val="009C6900"/>
    <w:rsid w:val="009D163B"/>
    <w:rsid w:val="009E28F1"/>
    <w:rsid w:val="009E2F84"/>
    <w:rsid w:val="009E59A8"/>
    <w:rsid w:val="009F33FF"/>
    <w:rsid w:val="00A018AB"/>
    <w:rsid w:val="00A04EE3"/>
    <w:rsid w:val="00A07ACE"/>
    <w:rsid w:val="00A1251F"/>
    <w:rsid w:val="00A13B05"/>
    <w:rsid w:val="00A210C1"/>
    <w:rsid w:val="00A215FC"/>
    <w:rsid w:val="00A21604"/>
    <w:rsid w:val="00A22AF5"/>
    <w:rsid w:val="00A236BF"/>
    <w:rsid w:val="00A2545B"/>
    <w:rsid w:val="00A27A9D"/>
    <w:rsid w:val="00A34B08"/>
    <w:rsid w:val="00A46346"/>
    <w:rsid w:val="00A50059"/>
    <w:rsid w:val="00A503DB"/>
    <w:rsid w:val="00A51062"/>
    <w:rsid w:val="00A52A55"/>
    <w:rsid w:val="00A56A59"/>
    <w:rsid w:val="00A60C81"/>
    <w:rsid w:val="00A6362E"/>
    <w:rsid w:val="00A63AF8"/>
    <w:rsid w:val="00A651CC"/>
    <w:rsid w:val="00A758AA"/>
    <w:rsid w:val="00A75CE7"/>
    <w:rsid w:val="00A76EF2"/>
    <w:rsid w:val="00A80654"/>
    <w:rsid w:val="00A91D23"/>
    <w:rsid w:val="00A92074"/>
    <w:rsid w:val="00A92566"/>
    <w:rsid w:val="00A97CF8"/>
    <w:rsid w:val="00AA1B1A"/>
    <w:rsid w:val="00AA3245"/>
    <w:rsid w:val="00AA35EB"/>
    <w:rsid w:val="00AA6365"/>
    <w:rsid w:val="00AB03A7"/>
    <w:rsid w:val="00AC0556"/>
    <w:rsid w:val="00AC38D4"/>
    <w:rsid w:val="00AC6512"/>
    <w:rsid w:val="00AD2FBB"/>
    <w:rsid w:val="00AD4A48"/>
    <w:rsid w:val="00AE095A"/>
    <w:rsid w:val="00AE1F10"/>
    <w:rsid w:val="00AE3F0E"/>
    <w:rsid w:val="00AE569D"/>
    <w:rsid w:val="00AF3161"/>
    <w:rsid w:val="00AF7C4B"/>
    <w:rsid w:val="00B00E9F"/>
    <w:rsid w:val="00B04125"/>
    <w:rsid w:val="00B043CE"/>
    <w:rsid w:val="00B046B3"/>
    <w:rsid w:val="00B07766"/>
    <w:rsid w:val="00B07827"/>
    <w:rsid w:val="00B16262"/>
    <w:rsid w:val="00B17B47"/>
    <w:rsid w:val="00B20647"/>
    <w:rsid w:val="00B44B25"/>
    <w:rsid w:val="00B47390"/>
    <w:rsid w:val="00B51B0C"/>
    <w:rsid w:val="00B53AA4"/>
    <w:rsid w:val="00B548B8"/>
    <w:rsid w:val="00B575E6"/>
    <w:rsid w:val="00B6342F"/>
    <w:rsid w:val="00B64B3D"/>
    <w:rsid w:val="00B7497E"/>
    <w:rsid w:val="00B750FD"/>
    <w:rsid w:val="00B765E4"/>
    <w:rsid w:val="00B80BC3"/>
    <w:rsid w:val="00B82471"/>
    <w:rsid w:val="00B9527F"/>
    <w:rsid w:val="00B953A6"/>
    <w:rsid w:val="00B956AB"/>
    <w:rsid w:val="00B97C8A"/>
    <w:rsid w:val="00BA242C"/>
    <w:rsid w:val="00BB2486"/>
    <w:rsid w:val="00BB72EF"/>
    <w:rsid w:val="00BC2C17"/>
    <w:rsid w:val="00BD3399"/>
    <w:rsid w:val="00BD4BB0"/>
    <w:rsid w:val="00BE2744"/>
    <w:rsid w:val="00BE322A"/>
    <w:rsid w:val="00BF0FB4"/>
    <w:rsid w:val="00BF1DCA"/>
    <w:rsid w:val="00BF252D"/>
    <w:rsid w:val="00BF7817"/>
    <w:rsid w:val="00BF7F9F"/>
    <w:rsid w:val="00C004E0"/>
    <w:rsid w:val="00C01DF3"/>
    <w:rsid w:val="00C01F8E"/>
    <w:rsid w:val="00C0733F"/>
    <w:rsid w:val="00C24119"/>
    <w:rsid w:val="00C2502E"/>
    <w:rsid w:val="00C25B4C"/>
    <w:rsid w:val="00C30AEB"/>
    <w:rsid w:val="00C32796"/>
    <w:rsid w:val="00C343BC"/>
    <w:rsid w:val="00C3715A"/>
    <w:rsid w:val="00C42FDE"/>
    <w:rsid w:val="00C43CB9"/>
    <w:rsid w:val="00C44575"/>
    <w:rsid w:val="00C4741C"/>
    <w:rsid w:val="00C50C33"/>
    <w:rsid w:val="00C53061"/>
    <w:rsid w:val="00C55D7E"/>
    <w:rsid w:val="00C55FC4"/>
    <w:rsid w:val="00C65664"/>
    <w:rsid w:val="00C65D8F"/>
    <w:rsid w:val="00C67CF3"/>
    <w:rsid w:val="00C70B58"/>
    <w:rsid w:val="00C72622"/>
    <w:rsid w:val="00C7297D"/>
    <w:rsid w:val="00C73AB7"/>
    <w:rsid w:val="00C75803"/>
    <w:rsid w:val="00C8066B"/>
    <w:rsid w:val="00C80E67"/>
    <w:rsid w:val="00C812B6"/>
    <w:rsid w:val="00C821A0"/>
    <w:rsid w:val="00C83E7F"/>
    <w:rsid w:val="00CA2B08"/>
    <w:rsid w:val="00CA3ED8"/>
    <w:rsid w:val="00CA4A21"/>
    <w:rsid w:val="00CB0784"/>
    <w:rsid w:val="00CB1875"/>
    <w:rsid w:val="00CB3025"/>
    <w:rsid w:val="00CB3B97"/>
    <w:rsid w:val="00CB5F8E"/>
    <w:rsid w:val="00CB62E6"/>
    <w:rsid w:val="00CC32EB"/>
    <w:rsid w:val="00CC4579"/>
    <w:rsid w:val="00CC4FEA"/>
    <w:rsid w:val="00CC5454"/>
    <w:rsid w:val="00CC5B26"/>
    <w:rsid w:val="00CC6BC4"/>
    <w:rsid w:val="00CD4ED3"/>
    <w:rsid w:val="00CE4712"/>
    <w:rsid w:val="00CF4B8B"/>
    <w:rsid w:val="00D000D3"/>
    <w:rsid w:val="00D0446C"/>
    <w:rsid w:val="00D064F8"/>
    <w:rsid w:val="00D11C34"/>
    <w:rsid w:val="00D14450"/>
    <w:rsid w:val="00D14807"/>
    <w:rsid w:val="00D20754"/>
    <w:rsid w:val="00D211B5"/>
    <w:rsid w:val="00D222F7"/>
    <w:rsid w:val="00D2468A"/>
    <w:rsid w:val="00D27936"/>
    <w:rsid w:val="00D32760"/>
    <w:rsid w:val="00D3381F"/>
    <w:rsid w:val="00D358AD"/>
    <w:rsid w:val="00D36B3B"/>
    <w:rsid w:val="00D42F27"/>
    <w:rsid w:val="00D430D5"/>
    <w:rsid w:val="00D4507A"/>
    <w:rsid w:val="00D46B5D"/>
    <w:rsid w:val="00D477C4"/>
    <w:rsid w:val="00D5237A"/>
    <w:rsid w:val="00D53CB5"/>
    <w:rsid w:val="00D569A4"/>
    <w:rsid w:val="00D57F67"/>
    <w:rsid w:val="00D57FCC"/>
    <w:rsid w:val="00D644C8"/>
    <w:rsid w:val="00D66F08"/>
    <w:rsid w:val="00D7269E"/>
    <w:rsid w:val="00D72F91"/>
    <w:rsid w:val="00D75E58"/>
    <w:rsid w:val="00D7613C"/>
    <w:rsid w:val="00D76288"/>
    <w:rsid w:val="00D77197"/>
    <w:rsid w:val="00D81342"/>
    <w:rsid w:val="00D8578A"/>
    <w:rsid w:val="00D95300"/>
    <w:rsid w:val="00D96AA2"/>
    <w:rsid w:val="00D96EB0"/>
    <w:rsid w:val="00DA02DC"/>
    <w:rsid w:val="00DA3FF1"/>
    <w:rsid w:val="00DB2089"/>
    <w:rsid w:val="00DB2DBD"/>
    <w:rsid w:val="00DB5796"/>
    <w:rsid w:val="00DC212C"/>
    <w:rsid w:val="00DC5B79"/>
    <w:rsid w:val="00DC6CC6"/>
    <w:rsid w:val="00DD4651"/>
    <w:rsid w:val="00DD6D93"/>
    <w:rsid w:val="00DD78F3"/>
    <w:rsid w:val="00DE5B2B"/>
    <w:rsid w:val="00DF0373"/>
    <w:rsid w:val="00DF6483"/>
    <w:rsid w:val="00E012EF"/>
    <w:rsid w:val="00E02F03"/>
    <w:rsid w:val="00E05667"/>
    <w:rsid w:val="00E11BDB"/>
    <w:rsid w:val="00E127D0"/>
    <w:rsid w:val="00E14671"/>
    <w:rsid w:val="00E15436"/>
    <w:rsid w:val="00E25131"/>
    <w:rsid w:val="00E3397F"/>
    <w:rsid w:val="00E34220"/>
    <w:rsid w:val="00E417A1"/>
    <w:rsid w:val="00E42558"/>
    <w:rsid w:val="00E45D6F"/>
    <w:rsid w:val="00E47D80"/>
    <w:rsid w:val="00E50304"/>
    <w:rsid w:val="00E513EE"/>
    <w:rsid w:val="00E63749"/>
    <w:rsid w:val="00E64B5A"/>
    <w:rsid w:val="00E70758"/>
    <w:rsid w:val="00E716FE"/>
    <w:rsid w:val="00E75009"/>
    <w:rsid w:val="00E85998"/>
    <w:rsid w:val="00E87CDA"/>
    <w:rsid w:val="00E94E57"/>
    <w:rsid w:val="00E97D32"/>
    <w:rsid w:val="00EB368B"/>
    <w:rsid w:val="00EB43B8"/>
    <w:rsid w:val="00EB556A"/>
    <w:rsid w:val="00EB6BAE"/>
    <w:rsid w:val="00EC7619"/>
    <w:rsid w:val="00ED1626"/>
    <w:rsid w:val="00ED66B4"/>
    <w:rsid w:val="00EE39D2"/>
    <w:rsid w:val="00EE5053"/>
    <w:rsid w:val="00EE58D5"/>
    <w:rsid w:val="00EF0C52"/>
    <w:rsid w:val="00EF2393"/>
    <w:rsid w:val="00EF739C"/>
    <w:rsid w:val="00EF7C4D"/>
    <w:rsid w:val="00EF7CB5"/>
    <w:rsid w:val="00F01042"/>
    <w:rsid w:val="00F03B74"/>
    <w:rsid w:val="00F1225C"/>
    <w:rsid w:val="00F1270F"/>
    <w:rsid w:val="00F13930"/>
    <w:rsid w:val="00F171E9"/>
    <w:rsid w:val="00F24C43"/>
    <w:rsid w:val="00F250B5"/>
    <w:rsid w:val="00F267A2"/>
    <w:rsid w:val="00F26BCB"/>
    <w:rsid w:val="00F34173"/>
    <w:rsid w:val="00F35833"/>
    <w:rsid w:val="00F41E0B"/>
    <w:rsid w:val="00F44BD7"/>
    <w:rsid w:val="00F453E3"/>
    <w:rsid w:val="00F558FC"/>
    <w:rsid w:val="00F56B2B"/>
    <w:rsid w:val="00F65285"/>
    <w:rsid w:val="00F663B7"/>
    <w:rsid w:val="00F6662B"/>
    <w:rsid w:val="00F72016"/>
    <w:rsid w:val="00F85863"/>
    <w:rsid w:val="00F92D78"/>
    <w:rsid w:val="00FA7387"/>
    <w:rsid w:val="00FB3954"/>
    <w:rsid w:val="00FD302C"/>
    <w:rsid w:val="00FD3495"/>
    <w:rsid w:val="00FD73DA"/>
    <w:rsid w:val="00FD7BC3"/>
    <w:rsid w:val="00FE1BF6"/>
    <w:rsid w:val="00FE2FAE"/>
    <w:rsid w:val="00FE53D5"/>
    <w:rsid w:val="00FE63F9"/>
    <w:rsid w:val="00FE6FB0"/>
    <w:rsid w:val="00FF0475"/>
    <w:rsid w:val="00FF1821"/>
    <w:rsid w:val="00FF1B74"/>
    <w:rsid w:val="00FF4547"/>
    <w:rsid w:val="00FF48CB"/>
    <w:rsid w:val="00FF6969"/>
    <w:rsid w:val="00FF7D41"/>
    <w:rsid w:val="012E695C"/>
    <w:rsid w:val="013317DB"/>
    <w:rsid w:val="0241255C"/>
    <w:rsid w:val="024C581E"/>
    <w:rsid w:val="029762F6"/>
    <w:rsid w:val="030A0A72"/>
    <w:rsid w:val="03D93F3E"/>
    <w:rsid w:val="04FE4501"/>
    <w:rsid w:val="05834B0B"/>
    <w:rsid w:val="05C70041"/>
    <w:rsid w:val="06514C09"/>
    <w:rsid w:val="067931E2"/>
    <w:rsid w:val="06B331CE"/>
    <w:rsid w:val="07AC659B"/>
    <w:rsid w:val="08126136"/>
    <w:rsid w:val="08153E48"/>
    <w:rsid w:val="083F27C3"/>
    <w:rsid w:val="08F16230"/>
    <w:rsid w:val="0A037FC9"/>
    <w:rsid w:val="0ACB0F66"/>
    <w:rsid w:val="0B5D6577"/>
    <w:rsid w:val="0C280D97"/>
    <w:rsid w:val="0C5E3BDC"/>
    <w:rsid w:val="0C764C5A"/>
    <w:rsid w:val="0CA25F86"/>
    <w:rsid w:val="0DB94132"/>
    <w:rsid w:val="0EEF3211"/>
    <w:rsid w:val="0F1F4318"/>
    <w:rsid w:val="0FE12354"/>
    <w:rsid w:val="10887D92"/>
    <w:rsid w:val="11034D52"/>
    <w:rsid w:val="11417B45"/>
    <w:rsid w:val="13771000"/>
    <w:rsid w:val="153C4D3D"/>
    <w:rsid w:val="154E4115"/>
    <w:rsid w:val="15525A30"/>
    <w:rsid w:val="16BD1D25"/>
    <w:rsid w:val="171337E0"/>
    <w:rsid w:val="17D80CE7"/>
    <w:rsid w:val="190548EB"/>
    <w:rsid w:val="19102702"/>
    <w:rsid w:val="195E5228"/>
    <w:rsid w:val="19856C4C"/>
    <w:rsid w:val="19AB2AD9"/>
    <w:rsid w:val="1A425F6E"/>
    <w:rsid w:val="1A480C2D"/>
    <w:rsid w:val="1A497C7A"/>
    <w:rsid w:val="1A501008"/>
    <w:rsid w:val="1C1725BC"/>
    <w:rsid w:val="1C536B8E"/>
    <w:rsid w:val="1D6B5120"/>
    <w:rsid w:val="1E3F724C"/>
    <w:rsid w:val="1F707A57"/>
    <w:rsid w:val="1FD9384E"/>
    <w:rsid w:val="232C1B98"/>
    <w:rsid w:val="23420EA5"/>
    <w:rsid w:val="23DF51AB"/>
    <w:rsid w:val="24462058"/>
    <w:rsid w:val="24995D2F"/>
    <w:rsid w:val="24B7656C"/>
    <w:rsid w:val="24C543A1"/>
    <w:rsid w:val="24DD793C"/>
    <w:rsid w:val="24EC60B5"/>
    <w:rsid w:val="255A71DF"/>
    <w:rsid w:val="25C36F00"/>
    <w:rsid w:val="260649A3"/>
    <w:rsid w:val="26994AA0"/>
    <w:rsid w:val="281318C7"/>
    <w:rsid w:val="28E15521"/>
    <w:rsid w:val="29762A1C"/>
    <w:rsid w:val="29F319B0"/>
    <w:rsid w:val="2A38744A"/>
    <w:rsid w:val="2AB32EED"/>
    <w:rsid w:val="2AEF0112"/>
    <w:rsid w:val="2B7463EB"/>
    <w:rsid w:val="2B8F12F1"/>
    <w:rsid w:val="2C0F5312"/>
    <w:rsid w:val="2C26606D"/>
    <w:rsid w:val="2CB15012"/>
    <w:rsid w:val="2D804ED2"/>
    <w:rsid w:val="2DFB3293"/>
    <w:rsid w:val="2E9279E9"/>
    <w:rsid w:val="2ECE2C44"/>
    <w:rsid w:val="303E4342"/>
    <w:rsid w:val="30564C17"/>
    <w:rsid w:val="30AB792F"/>
    <w:rsid w:val="30E016AE"/>
    <w:rsid w:val="30E73074"/>
    <w:rsid w:val="316D029A"/>
    <w:rsid w:val="319E48F7"/>
    <w:rsid w:val="31DD6DFF"/>
    <w:rsid w:val="336675FE"/>
    <w:rsid w:val="33AD497E"/>
    <w:rsid w:val="34AE30A3"/>
    <w:rsid w:val="353B3C62"/>
    <w:rsid w:val="357524F9"/>
    <w:rsid w:val="35FE6F21"/>
    <w:rsid w:val="37983B97"/>
    <w:rsid w:val="37EB3B4C"/>
    <w:rsid w:val="380F2DDF"/>
    <w:rsid w:val="38586698"/>
    <w:rsid w:val="386C3059"/>
    <w:rsid w:val="38B46F52"/>
    <w:rsid w:val="38DE3290"/>
    <w:rsid w:val="39513ED4"/>
    <w:rsid w:val="3962028B"/>
    <w:rsid w:val="39994C57"/>
    <w:rsid w:val="39D709A6"/>
    <w:rsid w:val="39F257E0"/>
    <w:rsid w:val="3A3E04B9"/>
    <w:rsid w:val="3AA50AA5"/>
    <w:rsid w:val="3C015264"/>
    <w:rsid w:val="3C68576E"/>
    <w:rsid w:val="3C9868B3"/>
    <w:rsid w:val="3DA908EF"/>
    <w:rsid w:val="3DE10046"/>
    <w:rsid w:val="3E4749EC"/>
    <w:rsid w:val="407867DE"/>
    <w:rsid w:val="40BF6C6C"/>
    <w:rsid w:val="41372F17"/>
    <w:rsid w:val="42672AE3"/>
    <w:rsid w:val="435025AB"/>
    <w:rsid w:val="43A06B6B"/>
    <w:rsid w:val="43A318F9"/>
    <w:rsid w:val="43BE6733"/>
    <w:rsid w:val="43D1505F"/>
    <w:rsid w:val="44BD4C3D"/>
    <w:rsid w:val="4588524B"/>
    <w:rsid w:val="458D0AB3"/>
    <w:rsid w:val="45E2663B"/>
    <w:rsid w:val="46184820"/>
    <w:rsid w:val="46205483"/>
    <w:rsid w:val="462C5BD6"/>
    <w:rsid w:val="46B5206F"/>
    <w:rsid w:val="46E0788A"/>
    <w:rsid w:val="4712301E"/>
    <w:rsid w:val="47BE0953"/>
    <w:rsid w:val="481A3D35"/>
    <w:rsid w:val="48223734"/>
    <w:rsid w:val="48CE25D7"/>
    <w:rsid w:val="48CF1280"/>
    <w:rsid w:val="4B0B519D"/>
    <w:rsid w:val="4BB4131F"/>
    <w:rsid w:val="4C625D50"/>
    <w:rsid w:val="4C9B3AB5"/>
    <w:rsid w:val="4CE41307"/>
    <w:rsid w:val="4CF16655"/>
    <w:rsid w:val="4D64659D"/>
    <w:rsid w:val="4DA7062D"/>
    <w:rsid w:val="4DC50079"/>
    <w:rsid w:val="4E4051B2"/>
    <w:rsid w:val="4F281CC0"/>
    <w:rsid w:val="50F15431"/>
    <w:rsid w:val="519531C9"/>
    <w:rsid w:val="523E57E5"/>
    <w:rsid w:val="544F6C05"/>
    <w:rsid w:val="5511700B"/>
    <w:rsid w:val="56033763"/>
    <w:rsid w:val="56C30635"/>
    <w:rsid w:val="56C66BBF"/>
    <w:rsid w:val="572B230B"/>
    <w:rsid w:val="57374904"/>
    <w:rsid w:val="57555B73"/>
    <w:rsid w:val="57686C8A"/>
    <w:rsid w:val="5822508B"/>
    <w:rsid w:val="5830409E"/>
    <w:rsid w:val="5A144EA7"/>
    <w:rsid w:val="5A5F6122"/>
    <w:rsid w:val="5A884CFF"/>
    <w:rsid w:val="5B185B65"/>
    <w:rsid w:val="5B991165"/>
    <w:rsid w:val="5BA662AC"/>
    <w:rsid w:val="5C4A2E02"/>
    <w:rsid w:val="5CA2679A"/>
    <w:rsid w:val="5D5A52C7"/>
    <w:rsid w:val="5D5B7BE1"/>
    <w:rsid w:val="5ECE328C"/>
    <w:rsid w:val="5F453E15"/>
    <w:rsid w:val="606A3A73"/>
    <w:rsid w:val="6091059D"/>
    <w:rsid w:val="619961B5"/>
    <w:rsid w:val="62CC2532"/>
    <w:rsid w:val="637846F9"/>
    <w:rsid w:val="63AD1596"/>
    <w:rsid w:val="64334B2B"/>
    <w:rsid w:val="647E3369"/>
    <w:rsid w:val="64E9140A"/>
    <w:rsid w:val="64EE2C1D"/>
    <w:rsid w:val="650D4BAC"/>
    <w:rsid w:val="65B8574F"/>
    <w:rsid w:val="66434B4A"/>
    <w:rsid w:val="67657C53"/>
    <w:rsid w:val="67E660D5"/>
    <w:rsid w:val="69492FD0"/>
    <w:rsid w:val="694B431B"/>
    <w:rsid w:val="69C9674A"/>
    <w:rsid w:val="69CB6B96"/>
    <w:rsid w:val="69E927AD"/>
    <w:rsid w:val="6A853B45"/>
    <w:rsid w:val="6B7D0AFE"/>
    <w:rsid w:val="6B923E7E"/>
    <w:rsid w:val="6C15502B"/>
    <w:rsid w:val="6C2227B4"/>
    <w:rsid w:val="6CF576A2"/>
    <w:rsid w:val="6D8141AA"/>
    <w:rsid w:val="6E55109C"/>
    <w:rsid w:val="6EA626B3"/>
    <w:rsid w:val="700F10EA"/>
    <w:rsid w:val="70912956"/>
    <w:rsid w:val="71A50310"/>
    <w:rsid w:val="72A93F87"/>
    <w:rsid w:val="72B76864"/>
    <w:rsid w:val="73306456"/>
    <w:rsid w:val="73334198"/>
    <w:rsid w:val="746513D5"/>
    <w:rsid w:val="75953045"/>
    <w:rsid w:val="761A519B"/>
    <w:rsid w:val="76301A9E"/>
    <w:rsid w:val="76B8261F"/>
    <w:rsid w:val="76D0242A"/>
    <w:rsid w:val="76E013E7"/>
    <w:rsid w:val="77692991"/>
    <w:rsid w:val="78047EB1"/>
    <w:rsid w:val="785E3A65"/>
    <w:rsid w:val="78802CBE"/>
    <w:rsid w:val="7A4078C7"/>
    <w:rsid w:val="7B193C74"/>
    <w:rsid w:val="7B803CF3"/>
    <w:rsid w:val="7C202A1A"/>
    <w:rsid w:val="7C93311E"/>
    <w:rsid w:val="7C9A350D"/>
    <w:rsid w:val="7D473F98"/>
    <w:rsid w:val="7DCB56F9"/>
    <w:rsid w:val="7ED24ED8"/>
    <w:rsid w:val="7EE134F6"/>
    <w:rsid w:val="7F634B2F"/>
    <w:rsid w:val="7FC626D4"/>
    <w:rsid w:val="7FF038E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33"/>
    <w:qFormat/>
    <w:uiPriority w:val="9"/>
    <w:pPr>
      <w:keepNext/>
      <w:keepLines/>
      <w:spacing w:before="340" w:after="330" w:line="578" w:lineRule="auto"/>
      <w:outlineLvl w:val="0"/>
    </w:pPr>
    <w:rPr>
      <w:b/>
      <w:bCs/>
      <w:kern w:val="44"/>
      <w:sz w:val="44"/>
      <w:szCs w:val="44"/>
    </w:rPr>
  </w:style>
  <w:style w:type="paragraph" w:styleId="4">
    <w:name w:val="heading 2"/>
    <w:basedOn w:val="1"/>
    <w:next w:val="1"/>
    <w:unhideWhenUsed/>
    <w:qFormat/>
    <w:uiPriority w:val="9"/>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link w:val="35"/>
    <w:semiHidden/>
    <w:unhideWhenUsed/>
    <w:qFormat/>
    <w:uiPriority w:val="9"/>
    <w:pPr>
      <w:keepNext/>
      <w:keepLines/>
      <w:spacing w:before="260" w:after="260" w:line="416" w:lineRule="auto"/>
      <w:outlineLvl w:val="2"/>
    </w:pPr>
    <w:rPr>
      <w:b/>
      <w:bCs/>
      <w:sz w:val="32"/>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eastAsia="仿宋_GB2312"/>
      <w:sz w:val="32"/>
      <w:szCs w:val="32"/>
    </w:rPr>
  </w:style>
  <w:style w:type="paragraph" w:styleId="6">
    <w:name w:val="annotation text"/>
    <w:basedOn w:val="1"/>
    <w:link w:val="36"/>
    <w:semiHidden/>
    <w:unhideWhenUsed/>
    <w:qFormat/>
    <w:uiPriority w:val="99"/>
    <w:pPr>
      <w:jc w:val="left"/>
    </w:pPr>
  </w:style>
  <w:style w:type="paragraph" w:styleId="7">
    <w:name w:val="Balloon Text"/>
    <w:basedOn w:val="1"/>
    <w:link w:val="19"/>
    <w:semiHidden/>
    <w:unhideWhenUsed/>
    <w:qFormat/>
    <w:uiPriority w:val="99"/>
    <w:rPr>
      <w:sz w:val="18"/>
      <w:szCs w:val="18"/>
    </w:rPr>
  </w:style>
  <w:style w:type="paragraph" w:styleId="8">
    <w:name w:val="footer"/>
    <w:basedOn w:val="1"/>
    <w:link w:val="21"/>
    <w:unhideWhenUsed/>
    <w:qFormat/>
    <w:uiPriority w:val="99"/>
    <w:pPr>
      <w:tabs>
        <w:tab w:val="center" w:pos="4153"/>
        <w:tab w:val="right" w:pos="8306"/>
      </w:tabs>
      <w:snapToGrid w:val="0"/>
      <w:jc w:val="left"/>
    </w:pPr>
    <w:rPr>
      <w:sz w:val="18"/>
      <w:szCs w:val="18"/>
    </w:rPr>
  </w:style>
  <w:style w:type="paragraph" w:styleId="9">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pPr>
      <w:tabs>
        <w:tab w:val="right" w:leader="dot" w:pos="8296"/>
      </w:tabs>
      <w:spacing w:line="800" w:lineRule="exact"/>
    </w:pPr>
  </w:style>
  <w:style w:type="paragraph" w:styleId="11">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12">
    <w:name w:val="Title"/>
    <w:basedOn w:val="1"/>
    <w:next w:val="1"/>
    <w:qFormat/>
    <w:uiPriority w:val="0"/>
    <w:pPr>
      <w:spacing w:before="240" w:after="60"/>
      <w:jc w:val="center"/>
      <w:outlineLvl w:val="0"/>
    </w:pPr>
    <w:rPr>
      <w:rFonts w:ascii="Arial" w:hAnsi="Arial"/>
      <w:b/>
      <w:sz w:val="32"/>
    </w:rPr>
  </w:style>
  <w:style w:type="paragraph" w:styleId="13">
    <w:name w:val="annotation subject"/>
    <w:basedOn w:val="6"/>
    <w:next w:val="6"/>
    <w:link w:val="37"/>
    <w:semiHidden/>
    <w:unhideWhenUsed/>
    <w:qFormat/>
    <w:uiPriority w:val="99"/>
    <w:rPr>
      <w:b/>
      <w:bCs/>
    </w:rPr>
  </w:style>
  <w:style w:type="table" w:styleId="15">
    <w:name w:val="Table Grid"/>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styleId="18">
    <w:name w:val="annotation reference"/>
    <w:basedOn w:val="16"/>
    <w:semiHidden/>
    <w:unhideWhenUsed/>
    <w:qFormat/>
    <w:uiPriority w:val="99"/>
    <w:rPr>
      <w:sz w:val="21"/>
      <w:szCs w:val="21"/>
    </w:rPr>
  </w:style>
  <w:style w:type="character" w:customStyle="1" w:styleId="19">
    <w:name w:val="批注框文本 字符"/>
    <w:basedOn w:val="16"/>
    <w:link w:val="7"/>
    <w:semiHidden/>
    <w:qFormat/>
    <w:uiPriority w:val="99"/>
    <w:rPr>
      <w:sz w:val="18"/>
      <w:szCs w:val="18"/>
    </w:rPr>
  </w:style>
  <w:style w:type="character" w:customStyle="1" w:styleId="20">
    <w:name w:val="页眉 字符"/>
    <w:basedOn w:val="16"/>
    <w:link w:val="9"/>
    <w:qFormat/>
    <w:uiPriority w:val="99"/>
    <w:rPr>
      <w:sz w:val="18"/>
      <w:szCs w:val="18"/>
    </w:rPr>
  </w:style>
  <w:style w:type="character" w:customStyle="1" w:styleId="21">
    <w:name w:val="页脚 字符"/>
    <w:basedOn w:val="16"/>
    <w:link w:val="8"/>
    <w:qFormat/>
    <w:uiPriority w:val="99"/>
    <w:rPr>
      <w:sz w:val="18"/>
      <w:szCs w:val="18"/>
    </w:rPr>
  </w:style>
  <w:style w:type="paragraph" w:styleId="22">
    <w:name w:val="List Paragraph"/>
    <w:basedOn w:val="1"/>
    <w:autoRedefine/>
    <w:qFormat/>
    <w:uiPriority w:val="34"/>
    <w:pPr>
      <w:ind w:firstLine="420" w:firstLineChars="200"/>
    </w:pPr>
  </w:style>
  <w:style w:type="paragraph" w:customStyle="1" w:styleId="23">
    <w:name w:val="段"/>
    <w:link w:val="24"/>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24">
    <w:name w:val="段 Char"/>
    <w:link w:val="23"/>
    <w:qFormat/>
    <w:uiPriority w:val="0"/>
    <w:rPr>
      <w:rFonts w:ascii="宋体" w:hAnsi="Times New Roman" w:eastAsia="宋体" w:cs="Times New Roman"/>
      <w:kern w:val="0"/>
      <w:szCs w:val="20"/>
    </w:rPr>
  </w:style>
  <w:style w:type="paragraph" w:customStyle="1" w:styleId="25">
    <w:name w:val="一级条标题"/>
    <w:next w:val="23"/>
    <w:link w:val="30"/>
    <w:qFormat/>
    <w:uiPriority w:val="0"/>
    <w:pPr>
      <w:numPr>
        <w:ilvl w:val="1"/>
        <w:numId w:val="1"/>
      </w:numPr>
      <w:spacing w:before="156" w:beforeLines="50" w:after="156" w:afterLines="50"/>
      <w:outlineLvl w:val="2"/>
    </w:pPr>
    <w:rPr>
      <w:rFonts w:ascii="黑体" w:hAnsi="Times New Roman" w:eastAsia="黑体" w:cs="Times New Roman"/>
      <w:sz w:val="21"/>
      <w:szCs w:val="21"/>
      <w:lang w:val="en-US" w:eastAsia="zh-CN" w:bidi="ar-SA"/>
    </w:rPr>
  </w:style>
  <w:style w:type="paragraph" w:customStyle="1" w:styleId="26">
    <w:name w:val="章标题"/>
    <w:next w:val="23"/>
    <w:qFormat/>
    <w:uiPriority w:val="0"/>
    <w:pPr>
      <w:numPr>
        <w:ilvl w:val="0"/>
        <w:numId w:val="1"/>
      </w:numPr>
      <w:spacing w:before="312" w:beforeLines="100" w:after="312" w:afterLines="100"/>
      <w:jc w:val="both"/>
      <w:outlineLvl w:val="1"/>
    </w:pPr>
    <w:rPr>
      <w:rFonts w:ascii="黑体" w:hAnsi="Times New Roman" w:eastAsia="黑体" w:cs="Times New Roman"/>
      <w:sz w:val="21"/>
      <w:lang w:val="en-US" w:eastAsia="zh-CN" w:bidi="ar-SA"/>
    </w:rPr>
  </w:style>
  <w:style w:type="paragraph" w:customStyle="1" w:styleId="27">
    <w:name w:val="二级条标题"/>
    <w:basedOn w:val="25"/>
    <w:next w:val="23"/>
    <w:qFormat/>
    <w:uiPriority w:val="0"/>
    <w:pPr>
      <w:numPr>
        <w:ilvl w:val="2"/>
      </w:numPr>
      <w:tabs>
        <w:tab w:val="left" w:pos="360"/>
      </w:tabs>
      <w:spacing w:before="50" w:after="50"/>
      <w:outlineLvl w:val="3"/>
    </w:pPr>
  </w:style>
  <w:style w:type="paragraph" w:customStyle="1" w:styleId="28">
    <w:name w:val="四级条标题"/>
    <w:basedOn w:val="1"/>
    <w:next w:val="23"/>
    <w:qFormat/>
    <w:uiPriority w:val="0"/>
    <w:pPr>
      <w:widowControl/>
      <w:numPr>
        <w:ilvl w:val="4"/>
        <w:numId w:val="1"/>
      </w:numPr>
      <w:spacing w:before="50" w:beforeLines="50" w:after="50" w:afterLines="50"/>
      <w:jc w:val="left"/>
      <w:outlineLvl w:val="5"/>
    </w:pPr>
    <w:rPr>
      <w:rFonts w:ascii="黑体" w:hAnsi="Times New Roman" w:eastAsia="黑体" w:cs="Times New Roman"/>
      <w:kern w:val="0"/>
      <w:szCs w:val="21"/>
    </w:rPr>
  </w:style>
  <w:style w:type="paragraph" w:customStyle="1" w:styleId="29">
    <w:name w:val="五级条标题"/>
    <w:basedOn w:val="28"/>
    <w:next w:val="23"/>
    <w:qFormat/>
    <w:uiPriority w:val="0"/>
    <w:pPr>
      <w:numPr>
        <w:ilvl w:val="5"/>
      </w:numPr>
      <w:outlineLvl w:val="6"/>
    </w:pPr>
  </w:style>
  <w:style w:type="character" w:customStyle="1" w:styleId="30">
    <w:name w:val="一级条标题 Char"/>
    <w:link w:val="25"/>
    <w:qFormat/>
    <w:locked/>
    <w:uiPriority w:val="0"/>
    <w:rPr>
      <w:rFonts w:ascii="黑体" w:hAnsi="Times New Roman" w:eastAsia="黑体" w:cs="Times New Roman"/>
      <w:kern w:val="0"/>
      <w:szCs w:val="21"/>
    </w:rPr>
  </w:style>
  <w:style w:type="paragraph" w:customStyle="1" w:styleId="31">
    <w:name w:val="正文1"/>
    <w:basedOn w:val="22"/>
    <w:link w:val="32"/>
    <w:qFormat/>
    <w:uiPriority w:val="99"/>
    <w:pPr>
      <w:ind w:firstLine="560"/>
    </w:pPr>
    <w:rPr>
      <w:rFonts w:ascii="仿宋" w:hAnsi="仿宋" w:eastAsia="仿宋" w:cs="Times New Roman"/>
      <w:color w:val="000000"/>
      <w:sz w:val="28"/>
      <w:szCs w:val="28"/>
    </w:rPr>
  </w:style>
  <w:style w:type="character" w:customStyle="1" w:styleId="32">
    <w:name w:val="正文1 字符"/>
    <w:link w:val="31"/>
    <w:qFormat/>
    <w:uiPriority w:val="99"/>
    <w:rPr>
      <w:rFonts w:ascii="仿宋" w:hAnsi="仿宋" w:eastAsia="仿宋" w:cs="Times New Roman"/>
      <w:color w:val="000000"/>
      <w:sz w:val="28"/>
      <w:szCs w:val="28"/>
    </w:rPr>
  </w:style>
  <w:style w:type="character" w:customStyle="1" w:styleId="33">
    <w:name w:val="标题 1 字符"/>
    <w:basedOn w:val="16"/>
    <w:link w:val="3"/>
    <w:qFormat/>
    <w:uiPriority w:val="9"/>
    <w:rPr>
      <w:b/>
      <w:bCs/>
      <w:kern w:val="44"/>
      <w:sz w:val="44"/>
      <w:szCs w:val="44"/>
    </w:rPr>
  </w:style>
  <w:style w:type="paragraph" w:customStyle="1" w:styleId="34">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35">
    <w:name w:val="标题 3 字符"/>
    <w:basedOn w:val="16"/>
    <w:link w:val="5"/>
    <w:semiHidden/>
    <w:qFormat/>
    <w:uiPriority w:val="9"/>
    <w:rPr>
      <w:b/>
      <w:bCs/>
      <w:sz w:val="32"/>
      <w:szCs w:val="32"/>
    </w:rPr>
  </w:style>
  <w:style w:type="character" w:customStyle="1" w:styleId="36">
    <w:name w:val="批注文字 字符"/>
    <w:basedOn w:val="16"/>
    <w:link w:val="6"/>
    <w:semiHidden/>
    <w:qFormat/>
    <w:uiPriority w:val="99"/>
  </w:style>
  <w:style w:type="character" w:customStyle="1" w:styleId="37">
    <w:name w:val="批注主题 字符"/>
    <w:basedOn w:val="36"/>
    <w:link w:val="13"/>
    <w:semiHidden/>
    <w:qFormat/>
    <w:uiPriority w:val="99"/>
    <w:rPr>
      <w:b/>
      <w:bCs/>
    </w:rPr>
  </w:style>
  <w:style w:type="table" w:customStyle="1" w:styleId="38">
    <w:name w:val="网格型1"/>
    <w:basedOn w:val="39"/>
    <w:qFormat/>
    <w:uiPriority w:val="0"/>
    <w:pPr>
      <w:widowControl w:val="0"/>
      <w:jc w:val="both"/>
    </w:pPr>
  </w:style>
  <w:style w:type="table" w:customStyle="1" w:styleId="39">
    <w:name w:val="普通表格1"/>
    <w:semiHidden/>
    <w:qFormat/>
    <w:uiPriority w:val="0"/>
  </w:style>
  <w:style w:type="paragraph" w:customStyle="1" w:styleId="40">
    <w:name w:val="正文文本1"/>
    <w:basedOn w:val="1"/>
    <w:qFormat/>
    <w:uiPriority w:val="0"/>
    <w:pPr>
      <w:shd w:val="clear" w:color="auto" w:fill="FFFFFF"/>
      <w:spacing w:after="240"/>
    </w:pPr>
    <w:rPr>
      <w:rFonts w:ascii="MingLiU" w:hAnsi="MingLiU" w:eastAsia="MingLiU" w:cs="MingLiU"/>
      <w:sz w:val="32"/>
      <w:szCs w:val="32"/>
      <w:lang w:val="zh-CN" w:eastAsia="zh-CN" w:bidi="zh-CN"/>
    </w:rPr>
  </w:style>
  <w:style w:type="paragraph" w:customStyle="1" w:styleId="41">
    <w:name w:val="样式 正文 + 首行缩进:  2 字符"/>
    <w:basedOn w:val="1"/>
    <w:qFormat/>
    <w:uiPriority w:val="0"/>
  </w:style>
  <w:style w:type="paragraph" w:customStyle="1" w:styleId="42">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microsoft.com/office/2006/relationships/keyMapCustomizations" Target="customizations.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3BE5BF-B5AD-473A-887D-48DA4447A6CA}">
  <ds:schemaRefs/>
</ds:datastoreItem>
</file>

<file path=docProps/app.xml><?xml version="1.0" encoding="utf-8"?>
<Properties xmlns="http://schemas.openxmlformats.org/officeDocument/2006/extended-properties" xmlns:vt="http://schemas.openxmlformats.org/officeDocument/2006/docPropsVTypes">
  <Template>Normal</Template>
  <Company>山东标准化协会</Company>
  <Pages>7</Pages>
  <Words>3423</Words>
  <Characters>3644</Characters>
  <Lines>35</Lines>
  <Paragraphs>9</Paragraphs>
  <TotalTime>4</TotalTime>
  <ScaleCrop>false</ScaleCrop>
  <LinksUpToDate>false</LinksUpToDate>
  <CharactersWithSpaces>3677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2021-06-07T03:36:00Z</dcterms:created>
  <dc:creator>王明昊</dc:creator>
  <cp:lastModifiedBy>委员会</cp:lastModifiedBy>
  <cp:lastPrinted>2020-12-08T13:47:00Z</cp:lastPrinted>
  <dcterms:modified xsi:type="dcterms:W3CDTF">2024-08-15T06:57:10Z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21FD4E4A038A43F998C6D0BBDB298167_13</vt:lpwstr>
  </property>
</Properties>
</file>