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972D6C">
      <w:pPr>
        <w:pStyle w:val="129"/>
        <w:framePr w:wrap="around"/>
      </w:pPr>
      <w:r>
        <w:rPr>
          <w:rFonts w:ascii="Times New Roman"/>
        </w:rPr>
        <w:t>ICS</w:t>
      </w:r>
      <w:r>
        <w:rPr>
          <w:rFonts w:hAnsi="黑体"/>
        </w:rPr>
        <w:t> </w:t>
      </w:r>
      <w:r>
        <w:fldChar w:fldCharType="begin">
          <w:ffData>
            <w:name w:val="ICS"/>
            <w:enabled/>
            <w:calcOnExit w:val="0"/>
            <w:helpText w:type="text" w:val="请输入正确的ICS号："/>
            <w:textInput>
              <w:default w:val="点击此处添加ICS号"/>
            </w:textInput>
          </w:ffData>
        </w:fldChar>
      </w:r>
      <w:bookmarkStart w:id="0" w:name="ICS"/>
      <w:r>
        <w:instrText xml:space="preserve"> FORMTEXT </w:instrText>
      </w:r>
      <w:r>
        <w:fldChar w:fldCharType="separate"/>
      </w:r>
      <w:r>
        <w:rPr>
          <w:rFonts w:hint="eastAsia"/>
        </w:rPr>
        <w:t>35.240.70</w:t>
      </w:r>
      <w:r>
        <w:fldChar w:fldCharType="end"/>
      </w:r>
      <w:bookmarkEnd w:id="0"/>
    </w:p>
    <w:p w14:paraId="3B714DB5">
      <w:pPr>
        <w:pStyle w:val="129"/>
        <w:framePr w:wrap="around"/>
      </w:pPr>
      <w:r>
        <w:fldChar w:fldCharType="begin">
          <w:ffData>
            <w:name w:val="WXFLH"/>
            <w:enabled/>
            <w:calcOnExit w:val="0"/>
            <w:helpText w:type="text" w:val="请输入中国标准文献分类号："/>
            <w:textInput>
              <w:default w:val="点击此处添加中国标准文献分类号"/>
            </w:textInput>
          </w:ffData>
        </w:fldChar>
      </w:r>
      <w:bookmarkStart w:id="1" w:name="WXFLH"/>
      <w:r>
        <w:instrText xml:space="preserve"> FORMTEXT </w:instrText>
      </w:r>
      <w:r>
        <w:fldChar w:fldCharType="separate"/>
      </w:r>
      <w:r>
        <w:rPr>
          <w:rFonts w:hint="eastAsia"/>
        </w:rPr>
        <w:t>CCS M75</w:t>
      </w:r>
      <w:r>
        <w:fldChar w:fldCharType="end"/>
      </w:r>
      <w:bookmarkEnd w:id="1"/>
    </w:p>
    <w:tbl>
      <w:tblPr>
        <w:tblStyle w:val="3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628"/>
      </w:tblGrid>
      <w:tr w14:paraId="539E05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628" w:type="dxa"/>
            <w:tcBorders>
              <w:top w:val="nil"/>
              <w:left w:val="nil"/>
              <w:bottom w:val="nil"/>
              <w:right w:val="nil"/>
            </w:tcBorders>
            <w:shd w:val="clear" w:color="auto" w:fill="auto"/>
          </w:tcPr>
          <w:p w14:paraId="3DB8F1F1">
            <w:pPr>
              <w:pStyle w:val="129"/>
              <w:framePr w:wrap="around"/>
            </w:pPr>
            <w:r>
              <w:fldChar w:fldCharType="begin">
                <w:ffData>
                  <w:name w:val="BAH"/>
                  <w:enabled/>
                  <w:calcOnExit w:val="0"/>
                  <w:textInput/>
                </w:ffData>
              </w:fldChar>
            </w:r>
            <w:bookmarkStart w:id="2" w:name="BAH"/>
            <w:r>
              <w:instrText xml:space="preserve"> </w:instrText>
            </w:r>
            <w:r>
              <w:rPr>
                <w:rFonts w:hint="eastAsia"/>
              </w:rPr>
              <w:instrText xml:space="preserve">FORMTEXT</w:instrText>
            </w:r>
            <w:r>
              <w:instrText xml:space="preserve"> </w:instrText>
            </w:r>
            <w:r>
              <w:fldChar w:fldCharType="separate"/>
            </w:r>
            <w:r>
              <w:t>     </w:t>
            </w:r>
            <w:r>
              <w:fldChar w:fldCharType="end"/>
            </w:r>
            <w:bookmarkEnd w:id="2"/>
          </w:p>
        </w:tc>
      </w:tr>
    </w:tbl>
    <w:p w14:paraId="6F9BA08D">
      <w:pPr>
        <w:pStyle w:val="115"/>
        <w:framePr w:wrap="around" w:x="4600"/>
        <w:ind w:right="-140"/>
      </w:pPr>
      <w:r>
        <w:t>T/SDASTC</w:t>
      </w:r>
    </w:p>
    <w:p w14:paraId="645AD918">
      <w:pPr>
        <w:pStyle w:val="116"/>
        <w:framePr w:wrap="around"/>
        <w:rPr>
          <w:rFonts w:ascii="Times New Roman" w:hAnsi="Times New Roman"/>
        </w:rPr>
      </w:pPr>
      <w:r>
        <w:rPr>
          <w:rFonts w:hint="eastAsia"/>
        </w:rPr>
        <w:t>团体</w:t>
      </w:r>
      <w:r>
        <w:t>标</w:t>
      </w:r>
      <w:r>
        <w:rPr>
          <w:rFonts w:ascii="Times New Roman" w:hAnsi="Times New Roman"/>
        </w:rPr>
        <w:t>准</w:t>
      </w:r>
    </w:p>
    <w:p w14:paraId="40565E70">
      <w:pPr>
        <w:pStyle w:val="53"/>
        <w:framePr w:wrap="around"/>
        <w:rPr>
          <w:rFonts w:hint="eastAsia" w:hAnsi="黑体"/>
        </w:rPr>
      </w:pPr>
      <w:r>
        <w:rPr>
          <w:rFonts w:ascii="Times New Roman"/>
        </w:rPr>
        <w:t>T/</w:t>
      </w:r>
      <w:r>
        <w:rPr>
          <w:rFonts w:ascii="Times New Roman"/>
        </w:rPr>
        <w:fldChar w:fldCharType="begin">
          <w:ffData>
            <w:name w:val="StdNo0"/>
            <w:enabled/>
            <w:calcOnExit w:val="0"/>
            <w:textInput>
              <w:default w:val="×××"/>
            </w:textInput>
          </w:ffData>
        </w:fldChar>
      </w:r>
      <w:bookmarkStart w:id="3" w:name="StdNo0"/>
      <w:r>
        <w:rPr>
          <w:rFonts w:ascii="Times New Roman"/>
        </w:rPr>
        <w:instrText xml:space="preserve"> FORMTEXT </w:instrText>
      </w:r>
      <w:r>
        <w:rPr>
          <w:rFonts w:ascii="Times New Roman"/>
        </w:rPr>
        <w:fldChar w:fldCharType="separate"/>
      </w:r>
      <w:r>
        <w:rPr>
          <w:rFonts w:ascii="Times New Roman"/>
        </w:rPr>
        <w:t>SDASTC</w:t>
      </w:r>
      <w:r>
        <w:rPr>
          <w:rFonts w:ascii="Times New Roman"/>
        </w:rPr>
        <w:fldChar w:fldCharType="end"/>
      </w:r>
      <w:bookmarkEnd w:id="3"/>
      <w:r>
        <w:rPr>
          <w:rFonts w:hAnsi="黑体"/>
        </w:rPr>
        <w:t xml:space="preserve"> </w:t>
      </w:r>
      <w:r>
        <w:rPr>
          <w:rFonts w:hAnsi="黑体"/>
        </w:rPr>
        <w:fldChar w:fldCharType="begin">
          <w:ffData>
            <w:name w:val="StdNo1"/>
            <w:enabled/>
            <w:calcOnExit w:val="0"/>
            <w:textInput>
              <w:default w:val="××××"/>
            </w:textInput>
          </w:ffData>
        </w:fldChar>
      </w:r>
      <w:bookmarkStart w:id="4" w:name="StdNo1"/>
      <w:r>
        <w:rPr>
          <w:rFonts w:hAnsi="黑体"/>
        </w:rPr>
        <w:instrText xml:space="preserve"> FORMTEXT </w:instrText>
      </w:r>
      <w:r>
        <w:rPr>
          <w:rFonts w:hAnsi="黑体"/>
        </w:rPr>
        <w:fldChar w:fldCharType="separate"/>
      </w:r>
      <w:r>
        <w:rPr>
          <w:rFonts w:hAnsi="黑体"/>
        </w:rPr>
        <w:t>××××</w:t>
      </w:r>
      <w:r>
        <w:rPr>
          <w:rFonts w:hAnsi="黑体"/>
        </w:rPr>
        <w:fldChar w:fldCharType="end"/>
      </w:r>
      <w:bookmarkEnd w:id="4"/>
      <w:r>
        <w:rPr>
          <w:rFonts w:hAnsi="黑体"/>
        </w:rPr>
        <w:t>—</w:t>
      </w:r>
      <w:r>
        <w:rPr>
          <w:rFonts w:hAnsi="黑体"/>
        </w:rPr>
        <w:fldChar w:fldCharType="begin">
          <w:ffData>
            <w:name w:val="StdNo2"/>
            <w:enabled/>
            <w:calcOnExit w:val="0"/>
            <w:textInput>
              <w:default w:val="××××"/>
              <w:maxLength w:val="4"/>
            </w:textInput>
          </w:ffData>
        </w:fldChar>
      </w:r>
      <w:bookmarkStart w:id="5" w:name="StdNo2"/>
      <w:r>
        <w:rPr>
          <w:rFonts w:hAnsi="黑体"/>
        </w:rPr>
        <w:instrText xml:space="preserve"> FORMTEXT </w:instrText>
      </w:r>
      <w:r>
        <w:rPr>
          <w:rFonts w:hAnsi="黑体"/>
        </w:rPr>
        <w:fldChar w:fldCharType="separate"/>
      </w:r>
      <w:r>
        <w:rPr>
          <w:rFonts w:hAnsi="黑体"/>
        </w:rPr>
        <w:t>××××</w:t>
      </w:r>
      <w:r>
        <w:rPr>
          <w:rFonts w:hAnsi="黑体"/>
        </w:rPr>
        <w:fldChar w:fldCharType="end"/>
      </w:r>
      <w:bookmarkEnd w:id="5"/>
    </w:p>
    <w:tbl>
      <w:tblPr>
        <w:tblStyle w:val="3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130"/>
      </w:tblGrid>
      <w:tr w14:paraId="6210BC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130" w:type="dxa"/>
            <w:tcBorders>
              <w:top w:val="nil"/>
              <w:left w:val="nil"/>
              <w:bottom w:val="nil"/>
              <w:right w:val="nil"/>
            </w:tcBorders>
            <w:shd w:val="clear" w:color="auto" w:fill="auto"/>
          </w:tcPr>
          <w:p w14:paraId="526F3B85">
            <w:pPr>
              <w:pStyle w:val="82"/>
              <w:framePr w:wrap="around"/>
            </w:pPr>
            <w:r>
              <mc:AlternateContent>
                <mc:Choice Requires="wps">
                  <w:drawing>
                    <wp:anchor distT="0" distB="0" distL="114300" distR="114300" simplePos="0" relativeHeight="251661312" behindDoc="1" locked="0" layoutInCell="1" allowOverlap="1">
                      <wp:simplePos x="0" y="0"/>
                      <wp:positionH relativeFrom="column">
                        <wp:posOffset>4665980</wp:posOffset>
                      </wp:positionH>
                      <wp:positionV relativeFrom="paragraph">
                        <wp:posOffset>34290</wp:posOffset>
                      </wp:positionV>
                      <wp:extent cx="1143000" cy="228600"/>
                      <wp:effectExtent l="0" t="0" r="0" b="0"/>
                      <wp:wrapNone/>
                      <wp:docPr id="3" name="DT"/>
                      <wp:cNvGraphicFramePr/>
                      <a:graphic xmlns:a="http://schemas.openxmlformats.org/drawingml/2006/main">
                        <a:graphicData uri="http://schemas.microsoft.com/office/word/2010/wordprocessingShape">
                          <wps:wsp>
                            <wps:cNvSpPr/>
                            <wps:spPr>
                              <a:xfrm>
                                <a:off x="0" y="0"/>
                                <a:ext cx="1143000" cy="228600"/>
                              </a:xfrm>
                              <a:prstGeom prst="rect">
                                <a:avLst/>
                              </a:prstGeom>
                              <a:solidFill>
                                <a:srgbClr val="FFFFFF"/>
                              </a:solidFill>
                              <a:ln w="25400" cap="flat" cmpd="sng" algn="ctr">
                                <a:noFill/>
                                <a:prstDash val="solid"/>
                              </a:ln>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DT" o:spid="_x0000_s1026" o:spt="1" style="position:absolute;left:0pt;margin-left:367.4pt;margin-top:2.7pt;height:18pt;width:90pt;z-index:-251655168;v-text-anchor:middle;mso-width-relative:page;mso-height-relative:page;" fillcolor="#FFFFFF" filled="t" stroked="f" coordsize="21600,21600" o:gfxdata="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xZ7k/9MAAAAIAQAADwAAAAAA&#10;AAABACAAAAAiAAAAZHJzL2Rvd25yZXYueG1sUEsBAhQAFAAAAAgAh07iQDpLbVVRAgAAvAQAAA4A&#10;AAAAAAAAAQAgAAAAIgEAAGRycy9lMm9Eb2MueG1sUEsFBgAAAAAGAAYAWQEAAOUFAAAAAA==&#10;">
                      <v:fill on="t" focussize="0,0"/>
                      <v:stroke on="f" weight="2pt"/>
                      <v:imagedata o:title=""/>
                      <o:lock v:ext="edit" aspectratio="f"/>
                    </v:rect>
                  </w:pict>
                </mc:Fallback>
              </mc:AlternateContent>
            </w:r>
            <w:r>
              <w:fldChar w:fldCharType="begin">
                <w:ffData>
                  <w:name w:val="DT"/>
                  <w:enabled/>
                  <w:calcOnExit w:val="0"/>
                  <w:entryMacro w:val="ShowHelp4"/>
                  <w:textInput/>
                </w:ffData>
              </w:fldChar>
            </w:r>
            <w:bookmarkStart w:id="6" w:name="DT"/>
            <w:r>
              <w:instrText xml:space="preserve"> FORMTEXT </w:instrText>
            </w:r>
            <w:r>
              <w:fldChar w:fldCharType="separate"/>
            </w:r>
            <w:r>
              <w:t>     </w:t>
            </w:r>
            <w:r>
              <w:fldChar w:fldCharType="end"/>
            </w:r>
            <w:bookmarkEnd w:id="6"/>
          </w:p>
        </w:tc>
      </w:tr>
    </w:tbl>
    <w:p w14:paraId="309B6CE4">
      <w:pPr>
        <w:pStyle w:val="53"/>
        <w:framePr w:wrap="around"/>
        <w:rPr>
          <w:rFonts w:hint="eastAsia" w:hAnsi="黑体"/>
        </w:rPr>
      </w:pPr>
    </w:p>
    <w:p w14:paraId="4729415C">
      <w:pPr>
        <w:pStyle w:val="53"/>
        <w:framePr w:wrap="around"/>
        <w:rPr>
          <w:rFonts w:hint="eastAsia" w:hAnsi="黑体"/>
        </w:rPr>
      </w:pPr>
    </w:p>
    <w:p w14:paraId="17322275">
      <w:pPr>
        <w:pStyle w:val="84"/>
        <w:framePr w:wrap="around"/>
      </w:pPr>
      <w:r>
        <w:fldChar w:fldCharType="begin">
          <w:ffData>
            <w:name w:val="StdName"/>
            <w:enabled/>
            <w:calcOnExit w:val="0"/>
            <w:textInput>
              <w:default w:val="点击此处添加标准名称"/>
            </w:textInput>
          </w:ffData>
        </w:fldChar>
      </w:r>
      <w:bookmarkStart w:id="7" w:name="StdName"/>
      <w:r>
        <w:instrText xml:space="preserve"> FORMTEXT </w:instrText>
      </w:r>
      <w:r>
        <w:fldChar w:fldCharType="separate"/>
      </w:r>
      <w:r>
        <w:rPr>
          <w:rFonts w:hint="eastAsia"/>
        </w:rPr>
        <w:t>基因测序公共服务平台建设规范</w:t>
      </w:r>
      <w:r>
        <w:fldChar w:fldCharType="end"/>
      </w:r>
      <w:bookmarkEnd w:id="7"/>
    </w:p>
    <w:p w14:paraId="6ADE3343">
      <w:pPr>
        <w:pStyle w:val="85"/>
        <w:framePr w:wrap="around"/>
        <w:rPr>
          <w:rFonts w:hint="eastAsia"/>
        </w:rPr>
      </w:pPr>
      <w:bookmarkStart w:id="8" w:name="StdEnglishName"/>
      <w:r>
        <w:rPr>
          <w:rFonts w:hint="eastAsia"/>
        </w:rPr>
        <w:fldChar w:fldCharType="begin">
          <w:ffData>
            <w:name w:val="StdEnglishName"/>
            <w:enabled/>
            <w:calcOnExit w:val="0"/>
            <w:textInput>
              <w:default w:val="specification for construction of public gene sequencing service platform"/>
            </w:textInput>
          </w:ffData>
        </w:fldChar>
      </w:r>
      <w:r>
        <w:rPr>
          <w:rFonts w:hint="eastAsia"/>
        </w:rPr>
        <w:instrText xml:space="preserve">FORMTEXT</w:instrText>
      </w:r>
      <w:r>
        <w:rPr>
          <w:rFonts w:hint="eastAsia"/>
        </w:rPr>
        <w:fldChar w:fldCharType="separate"/>
      </w:r>
      <w:r>
        <w:rPr>
          <w:rFonts w:hint="eastAsia"/>
          <w:lang w:val="en-US" w:eastAsia="zh-CN"/>
        </w:rPr>
        <w:t>S</w:t>
      </w:r>
      <w:r>
        <w:rPr>
          <w:rFonts w:hint="eastAsia"/>
        </w:rPr>
        <w:t>pecification for construction of public gene sequencing service platform</w:t>
      </w:r>
      <w:r>
        <w:rPr>
          <w:rFonts w:hint="eastAsia"/>
        </w:rPr>
        <w:fldChar w:fldCharType="end"/>
      </w:r>
      <w:bookmarkEnd w:id="8"/>
    </w:p>
    <w:p w14:paraId="6F2FA1B9">
      <w:pPr>
        <w:pStyle w:val="85"/>
        <w:framePr w:wrap="around"/>
        <w:rPr>
          <w:rFonts w:hint="eastAsia"/>
        </w:rPr>
      </w:pPr>
    </w:p>
    <w:p w14:paraId="3694C591">
      <w:pPr>
        <w:pStyle w:val="85"/>
        <w:framePr w:wrap="around"/>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征求意见稿</w:t>
      </w:r>
    </w:p>
    <w:p w14:paraId="0CDAD1C0">
      <w:pPr>
        <w:pStyle w:val="136"/>
        <w:framePr w:wrap="around"/>
      </w:pPr>
      <w:r>
        <w:rPr>
          <w:rFonts w:ascii="黑体"/>
        </w:rPr>
        <w:fldChar w:fldCharType="begin">
          <w:ffData>
            <w:name w:val="FY"/>
            <w:enabled/>
            <w:calcOnExit w:val="0"/>
            <w:entryMacro w:val="ShowHelp8"/>
            <w:textInput>
              <w:default w:val="××××"/>
              <w:maxLength w:val="4"/>
            </w:textInput>
          </w:ffData>
        </w:fldChar>
      </w:r>
      <w:bookmarkStart w:id="9" w:name="FY"/>
      <w:r>
        <w:rPr>
          <w:rFonts w:ascii="黑体"/>
        </w:rPr>
        <w:instrText xml:space="preserve"> FORMTEXT </w:instrText>
      </w:r>
      <w:r>
        <w:rPr>
          <w:rFonts w:ascii="黑体"/>
        </w:rPr>
        <w:fldChar w:fldCharType="separate"/>
      </w:r>
      <w:r>
        <w:rPr>
          <w:rFonts w:ascii="黑体"/>
        </w:rPr>
        <w:t>××××</w:t>
      </w:r>
      <w:r>
        <w:rPr>
          <w:rFonts w:ascii="黑体"/>
        </w:rPr>
        <w:fldChar w:fldCharType="end"/>
      </w:r>
      <w:bookmarkEnd w:id="9"/>
      <w:r>
        <w:t xml:space="preserve"> </w:t>
      </w:r>
      <w:r>
        <w:rPr>
          <w:rFonts w:ascii="黑体"/>
        </w:rPr>
        <w:t>-</w:t>
      </w:r>
      <w:r>
        <w:t xml:space="preserve"> </w:t>
      </w:r>
      <w:r>
        <w:rPr>
          <w:rFonts w:ascii="黑体"/>
        </w:rPr>
        <w:fldChar w:fldCharType="begin">
          <w:ffData>
            <w:name w:val="FM"/>
            <w:enabled/>
            <w:calcOnExit w:val="0"/>
            <w:entryMacro w:val="ShowHelp8"/>
            <w:textInput>
              <w:default w:val="××"/>
              <w:maxLength w:val="2"/>
            </w:textInput>
          </w:ffData>
        </w:fldChar>
      </w:r>
      <w:r>
        <w:rPr>
          <w:rFonts w:ascii="黑体"/>
        </w:rPr>
        <w:instrText xml:space="preserve"> FORMTEXT </w:instrText>
      </w:r>
      <w:r>
        <w:rPr>
          <w:rFonts w:ascii="黑体"/>
        </w:rPr>
        <w:fldChar w:fldCharType="separate"/>
      </w:r>
      <w:r>
        <w:rPr>
          <w:rFonts w:ascii="黑体"/>
        </w:rPr>
        <w:t>××</w:t>
      </w:r>
      <w:r>
        <w:rPr>
          <w:rFonts w:ascii="黑体"/>
        </w:rPr>
        <w:fldChar w:fldCharType="end"/>
      </w:r>
      <w:r>
        <w:t xml:space="preserve"> </w:t>
      </w:r>
      <w:r>
        <w:rPr>
          <w:rFonts w:ascii="黑体"/>
        </w:rPr>
        <w:t>-</w:t>
      </w:r>
      <w:r>
        <w:t xml:space="preserve"> </w:t>
      </w:r>
      <w:r>
        <w:rPr>
          <w:rFonts w:ascii="黑体"/>
        </w:rPr>
        <w:fldChar w:fldCharType="begin">
          <w:ffData>
            <w:name w:val="FD"/>
            <w:enabled/>
            <w:calcOnExit w:val="0"/>
            <w:entryMacro w:val="ShowHelp8"/>
            <w:textInput>
              <w:default w:val="××"/>
              <w:maxLength w:val="2"/>
            </w:textInput>
          </w:ffData>
        </w:fldChar>
      </w:r>
      <w:bookmarkStart w:id="10" w:name="FD"/>
      <w:r>
        <w:rPr>
          <w:rFonts w:ascii="黑体"/>
        </w:rPr>
        <w:instrText xml:space="preserve"> FORMTEXT </w:instrText>
      </w:r>
      <w:r>
        <w:rPr>
          <w:rFonts w:ascii="黑体"/>
        </w:rPr>
        <w:fldChar w:fldCharType="separate"/>
      </w:r>
      <w:r>
        <w:rPr>
          <w:rFonts w:ascii="黑体"/>
        </w:rPr>
        <w:t>××</w:t>
      </w:r>
      <w:r>
        <w:rPr>
          <w:rFonts w:ascii="黑体"/>
        </w:rPr>
        <w:fldChar w:fldCharType="end"/>
      </w:r>
      <w:bookmarkEnd w:id="10"/>
      <w:r>
        <w:rPr>
          <w:rFonts w:hint="eastAsia"/>
        </w:rPr>
        <w:t>发布</w:t>
      </w:r>
      <w:r>
        <w:rPr>
          <w:rFonts w:hint="eastAsia"/>
        </w:rPr>
        <mc:AlternateContent>
          <mc:Choice Requires="wps">
            <w:drawing>
              <wp:anchor distT="0" distB="0" distL="114300" distR="114300" simplePos="0" relativeHeight="251659264" behindDoc="0" locked="1" layoutInCell="1" allowOverlap="1">
                <wp:simplePos x="0" y="0"/>
                <wp:positionH relativeFrom="column">
                  <wp:posOffset>0</wp:posOffset>
                </wp:positionH>
                <wp:positionV relativeFrom="page">
                  <wp:posOffset>9251950</wp:posOffset>
                </wp:positionV>
                <wp:extent cx="6119495" cy="0"/>
                <wp:effectExtent l="0" t="0" r="33655" b="19050"/>
                <wp:wrapNone/>
                <wp:docPr id="1" name="直接连接符 1"/>
                <wp:cNvGraphicFramePr/>
                <a:graphic xmlns:a="http://schemas.openxmlformats.org/drawingml/2006/main">
                  <a:graphicData uri="http://schemas.microsoft.com/office/word/2010/wordprocessingShape">
                    <wps:wsp>
                      <wps:cNvCnPr/>
                      <wps:spPr>
                        <a:xfrm>
                          <a:off x="0" y="0"/>
                          <a:ext cx="611949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728.5pt;height:0pt;width:481.85pt;mso-position-vertical-relative:page;z-index:251659264;mso-width-relative:page;mso-height-relative:page;" filled="f" stroked="t" coordsize="21600,21600" o:gfxdata="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JVG+0tgAAAAKAQAADwAAAAAAAAABACAAAAAiAAAAZHJzL2Rvd25yZXYueG1sUEsB&#10;AhQAFAAAAAgAh07iQF3PR0b1AQAA0wMAAA4AAAAAAAAAAQAgAAAAJwEAAGRycy9lMm9Eb2MueG1s&#10;UEsFBgAAAAAGAAYAWQEAAI4FAAAAAA==&#10;">
                <v:fill on="f" focussize="0,0"/>
                <v:stroke color="#4A7EBB [3204]" joinstyle="round"/>
                <v:imagedata o:title=""/>
                <o:lock v:ext="edit" aspectratio="f"/>
                <w10:anchorlock/>
              </v:line>
            </w:pict>
          </mc:Fallback>
        </mc:AlternateContent>
      </w:r>
    </w:p>
    <w:p w14:paraId="29497B2B">
      <w:pPr>
        <w:pStyle w:val="137"/>
        <w:framePr w:wrap="around"/>
      </w:pPr>
      <w:r>
        <w:rPr>
          <w:rFonts w:ascii="黑体"/>
        </w:rPr>
        <w:fldChar w:fldCharType="begin">
          <w:ffData>
            <w:name w:val="SY"/>
            <w:enabled/>
            <w:calcOnExit w:val="0"/>
            <w:entryMacro w:val="ShowHelp9"/>
            <w:textInput>
              <w:default w:val="××××"/>
              <w:maxLength w:val="4"/>
            </w:textInput>
          </w:ffData>
        </w:fldChar>
      </w:r>
      <w:bookmarkStart w:id="11" w:name="SY"/>
      <w:r>
        <w:rPr>
          <w:rFonts w:ascii="黑体"/>
        </w:rPr>
        <w:instrText xml:space="preserve"> FORMTEXT </w:instrText>
      </w:r>
      <w:r>
        <w:rPr>
          <w:rFonts w:ascii="黑体"/>
        </w:rPr>
        <w:fldChar w:fldCharType="separate"/>
      </w:r>
      <w:r>
        <w:rPr>
          <w:rFonts w:ascii="黑体"/>
        </w:rPr>
        <w:t>××××</w:t>
      </w:r>
      <w:r>
        <w:rPr>
          <w:rFonts w:ascii="黑体"/>
        </w:rPr>
        <w:fldChar w:fldCharType="end"/>
      </w:r>
      <w:bookmarkEnd w:id="11"/>
      <w:r>
        <w:t xml:space="preserve"> </w:t>
      </w:r>
      <w:r>
        <w:rPr>
          <w:rFonts w:ascii="黑体"/>
        </w:rPr>
        <w:t>-</w:t>
      </w:r>
      <w:r>
        <w:t xml:space="preserve"> </w:t>
      </w:r>
      <w:r>
        <w:rPr>
          <w:rFonts w:ascii="黑体"/>
        </w:rPr>
        <w:fldChar w:fldCharType="begin">
          <w:ffData>
            <w:name w:val="SM"/>
            <w:enabled/>
            <w:calcOnExit w:val="0"/>
            <w:entryMacro w:val="ShowHelp9"/>
            <w:textInput>
              <w:default w:val="××"/>
              <w:maxLength w:val="2"/>
            </w:textInput>
          </w:ffData>
        </w:fldChar>
      </w:r>
      <w:bookmarkStart w:id="12" w:name="SM"/>
      <w:r>
        <w:rPr>
          <w:rFonts w:ascii="黑体"/>
        </w:rPr>
        <w:instrText xml:space="preserve"> FORMTEXT </w:instrText>
      </w:r>
      <w:r>
        <w:rPr>
          <w:rFonts w:ascii="黑体"/>
        </w:rPr>
        <w:fldChar w:fldCharType="separate"/>
      </w:r>
      <w:r>
        <w:rPr>
          <w:rFonts w:ascii="黑体"/>
        </w:rPr>
        <w:t>××</w:t>
      </w:r>
      <w:r>
        <w:rPr>
          <w:rFonts w:ascii="黑体"/>
        </w:rPr>
        <w:fldChar w:fldCharType="end"/>
      </w:r>
      <w:bookmarkEnd w:id="12"/>
      <w:r>
        <w:t xml:space="preserve"> </w:t>
      </w:r>
      <w:r>
        <w:rPr>
          <w:rFonts w:ascii="黑体"/>
        </w:rPr>
        <w:t>-</w:t>
      </w:r>
      <w:r>
        <w:t xml:space="preserve"> </w:t>
      </w:r>
      <w:r>
        <w:rPr>
          <w:rFonts w:ascii="黑体"/>
        </w:rPr>
        <w:fldChar w:fldCharType="begin">
          <w:ffData>
            <w:name w:val="SD"/>
            <w:enabled/>
            <w:calcOnExit w:val="0"/>
            <w:entryMacro w:val="ShowHelp9"/>
            <w:textInput>
              <w:default w:val="××"/>
              <w:maxLength w:val="2"/>
            </w:textInput>
          </w:ffData>
        </w:fldChar>
      </w:r>
      <w:bookmarkStart w:id="13" w:name="SD"/>
      <w:r>
        <w:rPr>
          <w:rFonts w:ascii="黑体"/>
        </w:rPr>
        <w:instrText xml:space="preserve"> FORMTEXT </w:instrText>
      </w:r>
      <w:r>
        <w:rPr>
          <w:rFonts w:ascii="黑体"/>
        </w:rPr>
        <w:fldChar w:fldCharType="separate"/>
      </w:r>
      <w:r>
        <w:rPr>
          <w:rFonts w:ascii="黑体"/>
        </w:rPr>
        <w:t>××</w:t>
      </w:r>
      <w:r>
        <w:rPr>
          <w:rFonts w:ascii="黑体"/>
        </w:rPr>
        <w:fldChar w:fldCharType="end"/>
      </w:r>
      <w:bookmarkEnd w:id="13"/>
      <w:r>
        <w:rPr>
          <w:rFonts w:hint="eastAsia"/>
        </w:rPr>
        <w:t>实施</w:t>
      </w:r>
    </w:p>
    <w:p w14:paraId="094E3D95">
      <w:pPr>
        <w:pStyle w:val="117"/>
        <w:framePr w:wrap="around"/>
      </w:pPr>
      <w:r>
        <w:fldChar w:fldCharType="begin">
          <w:ffData>
            <w:name w:val="fm"/>
            <w:enabled/>
            <w:calcOnExit w:val="0"/>
            <w:textInput/>
          </w:ffData>
        </w:fldChar>
      </w:r>
      <w:bookmarkStart w:id="14" w:name="fm"/>
      <w:r>
        <w:instrText xml:space="preserve"> FORMTEXT </w:instrText>
      </w:r>
      <w:r>
        <w:fldChar w:fldCharType="separate"/>
      </w:r>
      <w:r>
        <w:rPr>
          <w:rFonts w:hint="eastAsia"/>
        </w:rPr>
        <w:t>山东科技咨询协会</w:t>
      </w:r>
      <w:r>
        <w:fldChar w:fldCharType="end"/>
      </w:r>
      <w:bookmarkEnd w:id="14"/>
      <w:r>
        <w:t xml:space="preserve"> </w:t>
      </w:r>
      <w:r>
        <w:rPr>
          <w:rStyle w:val="79"/>
        </w:rPr>
        <w:t xml:space="preserve"> </w:t>
      </w:r>
      <w:r>
        <w:rPr>
          <w:rStyle w:val="79"/>
          <w:rFonts w:hint="eastAsia"/>
        </w:rPr>
        <w:t>发布</w:t>
      </w:r>
    </w:p>
    <w:p w14:paraId="64783EC4">
      <w:pPr>
        <w:pStyle w:val="26"/>
        <w:sectPr>
          <w:pgSz w:w="11906" w:h="16838"/>
          <w:pgMar w:top="567" w:right="850" w:bottom="1134" w:left="1418" w:header="0" w:footer="0" w:gutter="0"/>
          <w:pgNumType w:start="1"/>
          <w:cols w:space="425" w:num="1"/>
          <w:docGrid w:type="lines" w:linePitch="312" w:charSpace="0"/>
        </w:sectPr>
      </w:pPr>
      <w:r>
        <w:rPr>
          <w:rFonts w:hint="eastAsia"/>
        </w:rPr>
        <mc:AlternateContent>
          <mc:Choice Requires="wps">
            <w:drawing>
              <wp:anchor distT="0" distB="0" distL="114300" distR="114300" simplePos="0" relativeHeight="251664384" behindDoc="0" locked="0" layoutInCell="1" allowOverlap="1">
                <wp:simplePos x="0" y="0"/>
                <wp:positionH relativeFrom="column">
                  <wp:posOffset>140335</wp:posOffset>
                </wp:positionH>
                <wp:positionV relativeFrom="paragraph">
                  <wp:posOffset>2353945</wp:posOffset>
                </wp:positionV>
                <wp:extent cx="0" cy="0"/>
                <wp:effectExtent l="0" t="0" r="0" b="0"/>
                <wp:wrapNone/>
                <wp:docPr id="31" name="直接连接符 31"/>
                <wp:cNvGraphicFramePr/>
                <a:graphic xmlns:a="http://schemas.openxmlformats.org/drawingml/2006/main">
                  <a:graphicData uri="http://schemas.microsoft.com/office/word/2010/wordprocessingShape">
                    <wps:wsp>
                      <wps:cNvCnPr/>
                      <wps:spPr>
                        <a:xfrm>
                          <a:off x="0" y="0"/>
                          <a:ext cx="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1.05pt;margin-top:185.35pt;height:0pt;width:0pt;z-index:251664384;mso-width-relative:page;mso-height-relative:page;" filled="f" stroked="t" coordsize="21600,21600" o:gfxdata="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x5qUZ9cAAAAJAQAADwAAAAAAAAABACAAAAAiAAAAZHJzL2Rvd25yZXYueG1sUEsBAhQAFAAA&#10;AAgAh07iQIwfctjwAQAAzwMAAA4AAAAAAAAAAQAgAAAAJgEAAGRycy9lMm9Eb2MueG1sUEsFBgAA&#10;AAAGAAYAWQEAAIgFAAAAAA==&#10;">
                <v:fill on="f" focussize="0,0"/>
                <v:stroke color="#4A7EBB [3204]" joinstyle="round"/>
                <v:imagedata o:title=""/>
                <o:lock v:ext="edit" aspectratio="f"/>
              </v:line>
            </w:pict>
          </mc:Fallback>
        </mc:AlternateContent>
      </w:r>
      <w:r>
        <w:rPr>
          <w:rFonts w:hint="eastAsia"/>
        </w:rPr>
        <mc:AlternateContent>
          <mc:Choice Requires="wps">
            <w:drawing>
              <wp:anchor distT="0" distB="0" distL="114300" distR="114300" simplePos="0" relativeHeight="251663360" behindDoc="0" locked="0" layoutInCell="1" allowOverlap="1">
                <wp:simplePos x="0" y="0"/>
                <wp:positionH relativeFrom="column">
                  <wp:posOffset>13335</wp:posOffset>
                </wp:positionH>
                <wp:positionV relativeFrom="paragraph">
                  <wp:posOffset>8890635</wp:posOffset>
                </wp:positionV>
                <wp:extent cx="6137910" cy="0"/>
                <wp:effectExtent l="0" t="0" r="34290" b="19050"/>
                <wp:wrapNone/>
                <wp:docPr id="30" name="直接连接符 30"/>
                <wp:cNvGraphicFramePr/>
                <a:graphic xmlns:a="http://schemas.openxmlformats.org/drawingml/2006/main">
                  <a:graphicData uri="http://schemas.microsoft.com/office/word/2010/wordprocessingShape">
                    <wps:wsp>
                      <wps:cNvCnPr/>
                      <wps:spPr>
                        <a:xfrm>
                          <a:off x="0" y="0"/>
                          <a:ext cx="6138153"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05pt;margin-top:700.05pt;height:0pt;width:483.3pt;z-index:251663360;mso-width-relative:page;mso-height-relative:page;" filled="f" stroked="t" coordsize="21600,21600" o:gfxdata="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AudYgY1QAAAAsBAAAPAAAAAAAAAAEA&#10;IAAAACIAAABkcnMvZG93bnJldi54bWxQSwECFAAUAAAACACHTuJAYljOK9kBAACcAwAADgAAAAAA&#10;AAABACAAAAAkAQAAZHJzL2Uyb0RvYy54bWxQSwUGAAAAAAYABgBZAQAAbwUAAAAA&#10;">
                <v:fill on="f" focussize="0,0"/>
                <v:stroke color="#000000 [3213]" joinstyle="round"/>
                <v:imagedata o:title=""/>
                <o:lock v:ext="edit" aspectratio="f"/>
              </v:line>
            </w:pict>
          </mc:Fallback>
        </mc:AlternateContent>
      </w:r>
      <w:r>
        <w:rPr>
          <w:rFonts w:hint="eastAsia"/>
        </w:rPr>
        <mc:AlternateContent>
          <mc:Choice Requires="wps">
            <w:drawing>
              <wp:anchor distT="0" distB="0" distL="114300" distR="114300" simplePos="0" relativeHeight="251662336" behindDoc="1" locked="0" layoutInCell="1" allowOverlap="1">
                <wp:simplePos x="0" y="0"/>
                <wp:positionH relativeFrom="column">
                  <wp:posOffset>-66675</wp:posOffset>
                </wp:positionH>
                <wp:positionV relativeFrom="paragraph">
                  <wp:posOffset>396240</wp:posOffset>
                </wp:positionV>
                <wp:extent cx="866775" cy="198120"/>
                <wp:effectExtent l="0" t="0" r="9525" b="0"/>
                <wp:wrapNone/>
                <wp:docPr id="6" name="BAH"/>
                <wp:cNvGraphicFramePr/>
                <a:graphic xmlns:a="http://schemas.openxmlformats.org/drawingml/2006/main">
                  <a:graphicData uri="http://schemas.microsoft.com/office/word/2010/wordprocessingShape">
                    <wps:wsp>
                      <wps:cNvSpPr/>
                      <wps:spPr>
                        <a:xfrm>
                          <a:off x="0" y="0"/>
                          <a:ext cx="866775" cy="198120"/>
                        </a:xfrm>
                        <a:prstGeom prst="rect">
                          <a:avLst/>
                        </a:prstGeom>
                        <a:solidFill>
                          <a:srgbClr val="FFFFFF"/>
                        </a:solidFill>
                        <a:ln w="25400" cap="flat" cmpd="sng" algn="ctr">
                          <a:noFill/>
                          <a:prstDash val="solid"/>
                        </a:ln>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BAH" o:spid="_x0000_s1026" o:spt="1" style="position:absolute;left:0pt;margin-left:-5.25pt;margin-top:31.2pt;height:15.6pt;width:68.25pt;z-index:-251654144;v-text-anchor:middle;mso-width-relative:page;mso-height-relative:page;" fillcolor="#FFFFFF" filled="t" stroked="f" coordsize="21600,21600" o:gfxdata="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LWm2xzVAAAACQEA&#10;AA8AAAAAAAAAAQAgAAAAIgAAAGRycy9kb3ducmV2LnhtbFBLAQIUABQAAAAIAIdO4kB1Cz8HVgIA&#10;ALwEAAAOAAAAAAAAAAEAIAAAACQBAABkcnMvZTJvRG9jLnhtbFBLBQYAAAAABgAGAFkBAADsBQAA&#10;AAA=&#10;">
                <v:fill on="t" focussize="0,0"/>
                <v:stroke on="f" weight="2pt"/>
                <v:imagedata o:title=""/>
                <o:lock v:ext="edit" aspectratio="f"/>
              </v:rect>
            </w:pict>
          </mc:Fallback>
        </mc:AlternateContent>
      </w:r>
      <w:r>
        <w:rPr>
          <w:rFonts w:hint="eastAsia"/>
          <w:color w:val="000000" w:themeColor="text1"/>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2339340</wp:posOffset>
                </wp:positionV>
                <wp:extent cx="6120130" cy="0"/>
                <wp:effectExtent l="0" t="0" r="33655" b="19050"/>
                <wp:wrapNone/>
                <wp:docPr id="2" name="直接连接符 2"/>
                <wp:cNvGraphicFramePr/>
                <a:graphic xmlns:a="http://schemas.openxmlformats.org/drawingml/2006/main">
                  <a:graphicData uri="http://schemas.microsoft.com/office/word/2010/wordprocessingShape">
                    <wps:wsp>
                      <wps:cNvCnPr/>
                      <wps:spPr>
                        <a:xfrm>
                          <a:off x="0" y="0"/>
                          <a:ext cx="6120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184.2pt;height:0pt;width:481.9pt;z-index:251660288;mso-width-relative:page;mso-height-relative:page;" filled="f" stroked="t" coordsize="21600,21600" o:gfxdata="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jd8ps9UAAAAIAQAADwAAAAAAAAABACAA&#10;AAAiAAAAZHJzL2Rvd25yZXYueG1sUEsBAhQAFAAAAAgAh07iQHElybrXAQAAmgMAAA4AAAAAAAAA&#10;AQAgAAAAJAEAAGRycy9lMm9Eb2MueG1sUEsFBgAAAAAGAAYAWQEAAG0FAAAAAA==&#10;">
                <v:fill on="f" focussize="0,0"/>
                <v:stroke color="#000000 [3213]" joinstyle="round"/>
                <v:imagedata o:title=""/>
                <o:lock v:ext="edit" aspectratio="f"/>
              </v:line>
            </w:pict>
          </mc:Fallback>
        </mc:AlternateContent>
      </w:r>
    </w:p>
    <w:p w14:paraId="2976A564">
      <w:pPr>
        <w:pStyle w:val="56"/>
      </w:pPr>
      <w:r>
        <w:rPr>
          <w:rFonts w:hint="eastAsia"/>
        </w:rPr>
        <w:t>目</w:t>
      </w:r>
      <w:bookmarkStart w:id="15" w:name="BKML"/>
      <w:r>
        <w:rPr>
          <w:rFonts w:hAnsi="黑体"/>
        </w:rPr>
        <w:t>  </w:t>
      </w:r>
      <w:r>
        <w:rPr>
          <w:rFonts w:hint="eastAsia"/>
        </w:rPr>
        <w:t>次</w:t>
      </w:r>
      <w:bookmarkEnd w:id="15"/>
    </w:p>
    <w:p w14:paraId="176EA34E">
      <w:pPr>
        <w:pStyle w:val="22"/>
        <w:keepNext w:val="0"/>
        <w:keepLines w:val="0"/>
        <w:pageBreakBefore w:val="0"/>
        <w:kinsoku/>
        <w:wordWrap/>
        <w:overflowPunct/>
        <w:topLinePunct w:val="0"/>
        <w:bidi w:val="0"/>
        <w:adjustRightInd/>
        <w:snapToGrid/>
        <w:spacing w:beforeLines="0" w:afterLines="0" w:line="240" w:lineRule="auto"/>
        <w:textAlignment w:val="auto"/>
      </w:pPr>
      <w:r>
        <w:fldChar w:fldCharType="begin" w:fldLock="1"/>
      </w:r>
      <w:r>
        <w:instrText xml:space="preserve"> </w:instrText>
      </w:r>
      <w:r>
        <w:rPr>
          <w:rFonts w:hint="eastAsia"/>
        </w:rPr>
        <w:instrText xml:space="preserve">TOC \h \z \t"前言、引言标题,1,参考文献、索引标题,1,章标题,1,参考文献,1,附录标识,1,一级条标题, 3" \* MERGEFORMAT</w:instrText>
      </w:r>
      <w:r>
        <w:instrText xml:space="preserve"> </w:instrText>
      </w:r>
      <w:r>
        <w:fldChar w:fldCharType="separate"/>
      </w:r>
      <w:r>
        <w:fldChar w:fldCharType="begin"/>
      </w:r>
      <w:r>
        <w:instrText xml:space="preserve"> HYPERLINK \l "_Toc160821105" </w:instrText>
      </w:r>
      <w:r>
        <w:fldChar w:fldCharType="separate"/>
      </w:r>
      <w:r>
        <w:rPr>
          <w:rStyle w:val="44"/>
          <w:rFonts w:hint="eastAsia"/>
        </w:rPr>
        <w:t>前言</w:t>
      </w:r>
      <w:r>
        <w:tab/>
      </w:r>
      <w:r>
        <w:fldChar w:fldCharType="begin" w:fldLock="1"/>
      </w:r>
      <w:r>
        <w:instrText xml:space="preserve"> PAGEREF _Toc160821105 \h </w:instrText>
      </w:r>
      <w:r>
        <w:fldChar w:fldCharType="separate"/>
      </w:r>
      <w:r>
        <w:t>II</w:t>
      </w:r>
      <w:r>
        <w:fldChar w:fldCharType="end"/>
      </w:r>
      <w:r>
        <w:fldChar w:fldCharType="end"/>
      </w:r>
    </w:p>
    <w:p w14:paraId="2A1AC4A9">
      <w:pPr>
        <w:pStyle w:val="22"/>
        <w:keepNext w:val="0"/>
        <w:keepLines w:val="0"/>
        <w:pageBreakBefore w:val="0"/>
        <w:kinsoku/>
        <w:wordWrap/>
        <w:overflowPunct/>
        <w:topLinePunct w:val="0"/>
        <w:bidi w:val="0"/>
        <w:adjustRightInd/>
        <w:snapToGrid/>
        <w:spacing w:beforeLines="0" w:afterLines="0" w:line="240" w:lineRule="auto"/>
        <w:textAlignment w:val="auto"/>
        <w:rPr>
          <w:rFonts w:asciiTheme="minorHAnsi" w:hAnsiTheme="minorHAnsi" w:eastAsiaTheme="minorEastAsia" w:cstheme="minorBidi"/>
          <w:szCs w:val="22"/>
        </w:rPr>
      </w:pPr>
      <w:r>
        <w:fldChar w:fldCharType="begin"/>
      </w:r>
      <w:r>
        <w:instrText xml:space="preserve"> HYPERLINK \l "_Toc160821106" </w:instrText>
      </w:r>
      <w:r>
        <w:fldChar w:fldCharType="separate"/>
      </w:r>
      <w:r>
        <w:rPr>
          <w:rStyle w:val="44"/>
        </w:rPr>
        <w:t>1</w:t>
      </w:r>
      <w:r>
        <w:rPr>
          <w:rStyle w:val="44"/>
          <w:rFonts w:hint="eastAsia"/>
        </w:rPr>
        <w:t>　范围</w:t>
      </w:r>
      <w:r>
        <w:tab/>
      </w:r>
      <w:r>
        <w:fldChar w:fldCharType="begin" w:fldLock="1"/>
      </w:r>
      <w:r>
        <w:instrText xml:space="preserve"> PAGEREF _Toc160821106 \h </w:instrText>
      </w:r>
      <w:r>
        <w:fldChar w:fldCharType="separate"/>
      </w:r>
      <w:r>
        <w:t>1</w:t>
      </w:r>
      <w:r>
        <w:fldChar w:fldCharType="end"/>
      </w:r>
      <w:r>
        <w:fldChar w:fldCharType="end"/>
      </w:r>
    </w:p>
    <w:p w14:paraId="3E95E8AF">
      <w:pPr>
        <w:pStyle w:val="22"/>
        <w:keepNext w:val="0"/>
        <w:keepLines w:val="0"/>
        <w:pageBreakBefore w:val="0"/>
        <w:kinsoku/>
        <w:wordWrap/>
        <w:overflowPunct/>
        <w:topLinePunct w:val="0"/>
        <w:bidi w:val="0"/>
        <w:adjustRightInd/>
        <w:snapToGrid/>
        <w:spacing w:beforeLines="0" w:afterLines="0" w:line="240" w:lineRule="auto"/>
        <w:textAlignment w:val="auto"/>
        <w:rPr>
          <w:rFonts w:asciiTheme="minorHAnsi" w:hAnsiTheme="minorHAnsi" w:eastAsiaTheme="minorEastAsia" w:cstheme="minorBidi"/>
          <w:szCs w:val="22"/>
        </w:rPr>
      </w:pPr>
      <w:r>
        <w:fldChar w:fldCharType="begin"/>
      </w:r>
      <w:r>
        <w:instrText xml:space="preserve"> HYPERLINK \l "_Toc160821107" </w:instrText>
      </w:r>
      <w:r>
        <w:fldChar w:fldCharType="separate"/>
      </w:r>
      <w:r>
        <w:rPr>
          <w:rStyle w:val="44"/>
        </w:rPr>
        <w:t>2</w:t>
      </w:r>
      <w:r>
        <w:rPr>
          <w:rStyle w:val="44"/>
          <w:rFonts w:hint="eastAsia"/>
        </w:rPr>
        <w:t>　规范性引用文件</w:t>
      </w:r>
      <w:r>
        <w:tab/>
      </w:r>
      <w:r>
        <w:fldChar w:fldCharType="begin" w:fldLock="1"/>
      </w:r>
      <w:r>
        <w:instrText xml:space="preserve"> PAGEREF _Toc160821107 \h </w:instrText>
      </w:r>
      <w:r>
        <w:fldChar w:fldCharType="separate"/>
      </w:r>
      <w:r>
        <w:t>1</w:t>
      </w:r>
      <w:r>
        <w:fldChar w:fldCharType="end"/>
      </w:r>
      <w:r>
        <w:fldChar w:fldCharType="end"/>
      </w:r>
    </w:p>
    <w:p w14:paraId="1AA91442">
      <w:pPr>
        <w:pStyle w:val="22"/>
        <w:keepNext w:val="0"/>
        <w:keepLines w:val="0"/>
        <w:pageBreakBefore w:val="0"/>
        <w:kinsoku/>
        <w:wordWrap/>
        <w:overflowPunct/>
        <w:topLinePunct w:val="0"/>
        <w:bidi w:val="0"/>
        <w:adjustRightInd/>
        <w:snapToGrid/>
        <w:spacing w:beforeLines="0" w:afterLines="0" w:line="240" w:lineRule="auto"/>
        <w:textAlignment w:val="auto"/>
      </w:pPr>
      <w:r>
        <w:fldChar w:fldCharType="begin"/>
      </w:r>
      <w:r>
        <w:instrText xml:space="preserve"> HYPERLINK \l "_Toc160821108" </w:instrText>
      </w:r>
      <w:r>
        <w:fldChar w:fldCharType="separate"/>
      </w:r>
      <w:r>
        <w:rPr>
          <w:rFonts w:hint="eastAsia"/>
        </w:rPr>
        <w:t>3　术语和定义</w:t>
      </w:r>
      <w:r>
        <w:rPr>
          <w:rFonts w:hint="eastAsia"/>
        </w:rPr>
        <w:tab/>
      </w:r>
      <w:r>
        <w:rPr>
          <w:rFonts w:hint="eastAsia"/>
        </w:rPr>
        <w:fldChar w:fldCharType="begin" w:fldLock="1"/>
      </w:r>
      <w:r>
        <w:rPr>
          <w:rFonts w:hint="eastAsia"/>
        </w:rPr>
        <w:instrText xml:space="preserve"> PAGEREF _Toc160821108 \h </w:instrText>
      </w:r>
      <w:r>
        <w:rPr>
          <w:rFonts w:hint="eastAsia"/>
        </w:rPr>
        <w:fldChar w:fldCharType="separate"/>
      </w:r>
      <w:r>
        <w:rPr>
          <w:rFonts w:hint="eastAsia"/>
        </w:rPr>
        <w:t>1</w:t>
      </w:r>
      <w:r>
        <w:rPr>
          <w:rFonts w:hint="eastAsia"/>
        </w:rPr>
        <w:fldChar w:fldCharType="end"/>
      </w:r>
      <w:r>
        <w:rPr>
          <w:rFonts w:hint="eastAsia"/>
        </w:rPr>
        <w:fldChar w:fldCharType="end"/>
      </w:r>
    </w:p>
    <w:p w14:paraId="1C461D14">
      <w:pPr>
        <w:pStyle w:val="22"/>
        <w:keepNext w:val="0"/>
        <w:keepLines w:val="0"/>
        <w:pageBreakBefore w:val="0"/>
        <w:kinsoku/>
        <w:wordWrap/>
        <w:overflowPunct/>
        <w:topLinePunct w:val="0"/>
        <w:bidi w:val="0"/>
        <w:adjustRightInd/>
        <w:snapToGrid/>
        <w:spacing w:beforeLines="0" w:afterLines="0" w:line="240" w:lineRule="auto"/>
        <w:textAlignment w:val="auto"/>
      </w:pPr>
      <w:r>
        <w:fldChar w:fldCharType="begin"/>
      </w:r>
      <w:r>
        <w:instrText xml:space="preserve"> HYPERLINK \l "_Toc160821111" </w:instrText>
      </w:r>
      <w:r>
        <w:fldChar w:fldCharType="separate"/>
      </w:r>
      <w:r>
        <w:rPr>
          <w:rFonts w:hint="eastAsia"/>
        </w:rPr>
        <w:t>4　缩略语</w:t>
      </w:r>
      <w:r>
        <w:rPr>
          <w:rFonts w:hint="eastAsia"/>
        </w:rPr>
        <w:tab/>
      </w:r>
      <w:r>
        <w:rPr>
          <w:rFonts w:hint="eastAsia"/>
        </w:rPr>
        <w:t>2</w:t>
      </w:r>
      <w:r>
        <w:rPr>
          <w:rFonts w:hint="eastAsia"/>
        </w:rPr>
        <w:fldChar w:fldCharType="end"/>
      </w:r>
    </w:p>
    <w:p w14:paraId="17234B9B">
      <w:pPr>
        <w:pStyle w:val="22"/>
        <w:keepNext w:val="0"/>
        <w:keepLines w:val="0"/>
        <w:pageBreakBefore w:val="0"/>
        <w:kinsoku/>
        <w:wordWrap/>
        <w:overflowPunct/>
        <w:topLinePunct w:val="0"/>
        <w:bidi w:val="0"/>
        <w:adjustRightInd/>
        <w:snapToGrid/>
        <w:spacing w:beforeLines="0" w:afterLines="0" w:line="240" w:lineRule="auto"/>
        <w:textAlignment w:val="auto"/>
        <w:rPr>
          <w:rFonts w:asciiTheme="minorHAnsi" w:hAnsiTheme="minorHAnsi" w:eastAsiaTheme="minorEastAsia" w:cstheme="minorBidi"/>
          <w:szCs w:val="22"/>
        </w:rPr>
      </w:pPr>
      <w:r>
        <w:fldChar w:fldCharType="begin"/>
      </w:r>
      <w:r>
        <w:instrText xml:space="preserve"> HYPERLINK \l "_Toc160821112" </w:instrText>
      </w:r>
      <w:r>
        <w:fldChar w:fldCharType="separate"/>
      </w:r>
      <w:r>
        <w:rPr>
          <w:rFonts w:hint="eastAsia"/>
        </w:rPr>
        <w:t>5　实验室设计与建设</w:t>
      </w:r>
      <w:r>
        <w:rPr>
          <w:rFonts w:hint="eastAsia"/>
        </w:rPr>
        <w:tab/>
      </w:r>
      <w:r>
        <w:rPr>
          <w:rFonts w:hint="eastAsia"/>
        </w:rPr>
        <w:t>2</w:t>
      </w:r>
      <w:r>
        <w:rPr>
          <w:rFonts w:hint="eastAsia"/>
        </w:rPr>
        <w:fldChar w:fldCharType="end"/>
      </w:r>
    </w:p>
    <w:p w14:paraId="31EC06B8">
      <w:pPr>
        <w:pStyle w:val="22"/>
        <w:keepNext w:val="0"/>
        <w:keepLines w:val="0"/>
        <w:pageBreakBefore w:val="0"/>
        <w:kinsoku/>
        <w:wordWrap/>
        <w:overflowPunct/>
        <w:topLinePunct w:val="0"/>
        <w:bidi w:val="0"/>
        <w:adjustRightInd/>
        <w:snapToGrid/>
        <w:spacing w:beforeLines="0" w:afterLines="0" w:line="240" w:lineRule="auto"/>
        <w:textAlignment w:val="auto"/>
      </w:pPr>
      <w:r>
        <w:fldChar w:fldCharType="begin"/>
      </w:r>
      <w:r>
        <w:instrText xml:space="preserve"> HYPERLINK \l "_Toc160821116" </w:instrText>
      </w:r>
      <w:r>
        <w:fldChar w:fldCharType="separate"/>
      </w:r>
      <w:r>
        <w:rPr>
          <w:rFonts w:hint="eastAsia"/>
        </w:rPr>
        <w:t>6　设备仪器管理</w:t>
      </w:r>
      <w:r>
        <w:rPr>
          <w:rFonts w:hint="eastAsia"/>
        </w:rPr>
        <w:tab/>
      </w:r>
      <w:r>
        <w:rPr>
          <w:rFonts w:hint="eastAsia"/>
        </w:rPr>
        <w:fldChar w:fldCharType="begin" w:fldLock="1"/>
      </w:r>
      <w:r>
        <w:rPr>
          <w:rFonts w:hint="eastAsia"/>
        </w:rPr>
        <w:instrText xml:space="preserve"> PAGEREF _Toc160821116 \h </w:instrText>
      </w:r>
      <w:r>
        <w:rPr>
          <w:rFonts w:hint="eastAsia"/>
        </w:rPr>
        <w:fldChar w:fldCharType="separate"/>
      </w:r>
      <w:r>
        <w:rPr>
          <w:rFonts w:hint="eastAsia"/>
        </w:rPr>
        <w:t>3</w:t>
      </w:r>
      <w:r>
        <w:rPr>
          <w:rFonts w:hint="eastAsia"/>
        </w:rPr>
        <w:fldChar w:fldCharType="end"/>
      </w:r>
      <w:r>
        <w:rPr>
          <w:rFonts w:hint="eastAsia"/>
        </w:rPr>
        <w:fldChar w:fldCharType="end"/>
      </w:r>
    </w:p>
    <w:p w14:paraId="7E7537C8">
      <w:pPr>
        <w:pStyle w:val="22"/>
        <w:keepNext w:val="0"/>
        <w:keepLines w:val="0"/>
        <w:pageBreakBefore w:val="0"/>
        <w:kinsoku/>
        <w:wordWrap/>
        <w:overflowPunct/>
        <w:topLinePunct w:val="0"/>
        <w:bidi w:val="0"/>
        <w:adjustRightInd/>
        <w:snapToGrid/>
        <w:spacing w:beforeLines="0" w:afterLines="0" w:line="240" w:lineRule="auto"/>
        <w:textAlignment w:val="auto"/>
      </w:pPr>
      <w:r>
        <w:rPr>
          <w:rFonts w:hint="eastAsia"/>
        </w:rPr>
        <w:t>7  数据管理与信息安全</w:t>
      </w:r>
      <w:r>
        <w:rPr>
          <w:rFonts w:hint="eastAsia"/>
        </w:rPr>
        <w:tab/>
      </w:r>
      <w:r>
        <w:rPr>
          <w:rFonts w:hint="eastAsia"/>
        </w:rPr>
        <w:t>4</w:t>
      </w:r>
    </w:p>
    <w:p w14:paraId="2D656610">
      <w:pPr>
        <w:pStyle w:val="22"/>
        <w:keepNext w:val="0"/>
        <w:keepLines w:val="0"/>
        <w:pageBreakBefore w:val="0"/>
        <w:kinsoku/>
        <w:wordWrap/>
        <w:overflowPunct/>
        <w:topLinePunct w:val="0"/>
        <w:bidi w:val="0"/>
        <w:adjustRightInd/>
        <w:snapToGrid/>
        <w:spacing w:beforeLines="0" w:afterLines="0" w:line="240" w:lineRule="auto"/>
        <w:textAlignment w:val="auto"/>
        <w:rPr>
          <w:rFonts w:hint="eastAsia" w:eastAsia="宋体"/>
          <w:lang w:eastAsia="zh-CN"/>
        </w:rPr>
      </w:pPr>
      <w:r>
        <w:rPr>
          <w:rFonts w:hint="eastAsia"/>
        </w:rPr>
        <w:t>8  人员培训与资质......................................................................</w:t>
      </w:r>
      <w:r>
        <w:rPr>
          <w:rFonts w:hint="eastAsia"/>
          <w:lang w:val="en-US" w:eastAsia="zh-CN"/>
        </w:rPr>
        <w:t>6</w:t>
      </w:r>
    </w:p>
    <w:p w14:paraId="1E5774B8">
      <w:pPr>
        <w:pStyle w:val="22"/>
        <w:keepNext w:val="0"/>
        <w:keepLines w:val="0"/>
        <w:pageBreakBefore w:val="0"/>
        <w:kinsoku/>
        <w:wordWrap/>
        <w:overflowPunct/>
        <w:topLinePunct w:val="0"/>
        <w:bidi w:val="0"/>
        <w:adjustRightInd/>
        <w:snapToGrid/>
        <w:spacing w:beforeLines="0" w:afterLines="0" w:line="240" w:lineRule="auto"/>
        <w:textAlignment w:val="auto"/>
      </w:pPr>
      <w:r>
        <w:rPr>
          <w:rFonts w:hint="eastAsia"/>
        </w:rPr>
        <w:t xml:space="preserve">9  </w:t>
      </w:r>
      <w:r>
        <w:t>记录与</w:t>
      </w:r>
      <w:r>
        <w:rPr>
          <w:rFonts w:hint="eastAsia"/>
        </w:rPr>
        <w:t>报</w:t>
      </w:r>
      <w:r>
        <w:t>告</w:t>
      </w:r>
      <w:r>
        <w:rPr>
          <w:rFonts w:hint="eastAsia"/>
        </w:rPr>
        <w:t>..........................................................................6</w:t>
      </w:r>
    </w:p>
    <w:p w14:paraId="5EAFC2FB">
      <w:pPr>
        <w:pStyle w:val="22"/>
        <w:keepNext w:val="0"/>
        <w:keepLines w:val="0"/>
        <w:pageBreakBefore w:val="0"/>
        <w:kinsoku/>
        <w:wordWrap/>
        <w:overflowPunct/>
        <w:topLinePunct w:val="0"/>
        <w:bidi w:val="0"/>
        <w:adjustRightInd/>
        <w:snapToGrid/>
        <w:spacing w:beforeLines="0" w:afterLines="0" w:line="240" w:lineRule="auto"/>
        <w:textAlignment w:val="auto"/>
        <w:rPr>
          <w:rFonts w:hint="eastAsia" w:eastAsia="宋体"/>
          <w:lang w:eastAsia="zh-CN"/>
        </w:rPr>
      </w:pPr>
      <w:r>
        <w:rPr>
          <w:rFonts w:hint="eastAsia"/>
        </w:rPr>
        <w:t>10 客户服务与反馈..................................................................</w:t>
      </w:r>
      <w:r>
        <w:rPr>
          <w:rFonts w:hint="eastAsia"/>
          <w:lang w:val="en-US" w:eastAsia="zh-CN"/>
        </w:rPr>
        <w:t>....7</w:t>
      </w:r>
    </w:p>
    <w:p w14:paraId="3D2E4A88">
      <w:pPr>
        <w:pStyle w:val="22"/>
        <w:keepNext w:val="0"/>
        <w:keepLines w:val="0"/>
        <w:pageBreakBefore w:val="0"/>
        <w:kinsoku/>
        <w:wordWrap/>
        <w:overflowPunct/>
        <w:topLinePunct w:val="0"/>
        <w:bidi w:val="0"/>
        <w:adjustRightInd/>
        <w:snapToGrid/>
        <w:spacing w:beforeLines="0" w:afterLines="0" w:line="240" w:lineRule="auto"/>
        <w:textAlignment w:val="auto"/>
        <w:rPr>
          <w:rFonts w:hint="eastAsia" w:eastAsia="宋体"/>
          <w:lang w:eastAsia="zh-CN"/>
        </w:rPr>
      </w:pPr>
      <w:r>
        <w:rPr>
          <w:rFonts w:hint="eastAsia"/>
        </w:rPr>
        <w:t>11</w:t>
      </w:r>
      <w:r>
        <w:rPr>
          <w:rFonts w:hint="eastAsia"/>
          <w:lang w:val="en-US" w:eastAsia="zh-CN"/>
        </w:rPr>
        <w:t xml:space="preserve"> </w:t>
      </w:r>
      <w:r>
        <w:rPr>
          <w:rFonts w:hint="eastAsia"/>
        </w:rPr>
        <w:t>伦理遵守......................................................................</w:t>
      </w:r>
      <w:r>
        <w:rPr>
          <w:rFonts w:hint="eastAsia"/>
          <w:lang w:val="en-US" w:eastAsia="zh-CN"/>
        </w:rPr>
        <w:t>......7</w:t>
      </w:r>
    </w:p>
    <w:p w14:paraId="3AD7B28F">
      <w:pPr>
        <w:pStyle w:val="22"/>
        <w:keepNext w:val="0"/>
        <w:keepLines w:val="0"/>
        <w:pageBreakBefore w:val="0"/>
        <w:kinsoku/>
        <w:wordWrap/>
        <w:overflowPunct/>
        <w:topLinePunct w:val="0"/>
        <w:bidi w:val="0"/>
        <w:adjustRightInd/>
        <w:snapToGrid/>
        <w:spacing w:beforeLines="0" w:afterLines="0" w:line="240" w:lineRule="auto"/>
        <w:textAlignment w:val="auto"/>
        <w:rPr>
          <w:rFonts w:hint="eastAsia" w:eastAsia="宋体"/>
          <w:lang w:eastAsia="zh-CN"/>
        </w:rPr>
      </w:pPr>
      <w:r>
        <w:rPr>
          <w:rFonts w:hint="eastAsia"/>
          <w:color w:val="000000" w:themeColor="text1"/>
          <w14:textFill>
            <w14:solidFill>
              <w14:schemeClr w14:val="tx1"/>
            </w14:solidFill>
          </w14:textFill>
        </w:rPr>
        <w:t>参考文献...............................................................................</w:t>
      </w:r>
      <w:r>
        <w:rPr>
          <w:rFonts w:hint="eastAsia"/>
          <w:color w:val="000000" w:themeColor="text1"/>
          <w:lang w:val="en-US" w:eastAsia="zh-CN"/>
          <w14:textFill>
            <w14:solidFill>
              <w14:schemeClr w14:val="tx1"/>
            </w14:solidFill>
          </w14:textFill>
        </w:rPr>
        <w:t>8</w:t>
      </w:r>
    </w:p>
    <w:p w14:paraId="5350F1B2">
      <w:pPr>
        <w:pStyle w:val="26"/>
        <w:keepNext w:val="0"/>
        <w:keepLines w:val="0"/>
        <w:pageBreakBefore w:val="0"/>
        <w:kinsoku/>
        <w:wordWrap/>
        <w:overflowPunct/>
        <w:topLinePunct w:val="0"/>
        <w:bidi w:val="0"/>
        <w:adjustRightInd/>
        <w:snapToGrid/>
        <w:spacing w:line="240" w:lineRule="auto"/>
        <w:textAlignment w:val="auto"/>
      </w:pPr>
      <w:r>
        <w:fldChar w:fldCharType="end"/>
      </w:r>
    </w:p>
    <w:p w14:paraId="14DE5426">
      <w:pPr>
        <w:pStyle w:val="118"/>
      </w:pPr>
      <w:bookmarkStart w:id="16" w:name="_Toc160821105"/>
      <w:r>
        <w:rPr>
          <w:rFonts w:hint="eastAsia"/>
        </w:rPr>
        <w:t>前</w:t>
      </w:r>
      <w:bookmarkStart w:id="17" w:name="BKQY"/>
      <w:r>
        <w:rPr>
          <w:rFonts w:hAnsi="黑体"/>
        </w:rPr>
        <w:t>  </w:t>
      </w:r>
      <w:r>
        <w:rPr>
          <w:rFonts w:hint="eastAsia"/>
        </w:rPr>
        <w:t>言</w:t>
      </w:r>
      <w:bookmarkEnd w:id="16"/>
      <w:bookmarkEnd w:id="17"/>
    </w:p>
    <w:p w14:paraId="3509915C">
      <w:pPr>
        <w:pStyle w:val="26"/>
      </w:pPr>
      <w:r>
        <w:rPr>
          <w:rFonts w:hint="eastAsia"/>
        </w:rPr>
        <w:t>本文件参照GB/T 1.1—2020《标准化工作导则  第</w:t>
      </w:r>
      <w:r>
        <w:rPr>
          <w:rFonts w:hint="eastAsia"/>
          <w:lang w:val="en-US" w:eastAsia="zh-CN"/>
        </w:rPr>
        <w:t xml:space="preserve"> </w:t>
      </w:r>
      <w:r>
        <w:rPr>
          <w:rFonts w:hint="eastAsia"/>
        </w:rPr>
        <w:t>1</w:t>
      </w:r>
      <w:r>
        <w:rPr>
          <w:rFonts w:hint="eastAsia"/>
          <w:lang w:val="en-US" w:eastAsia="zh-CN"/>
        </w:rPr>
        <w:t xml:space="preserve"> </w:t>
      </w:r>
      <w:r>
        <w:rPr>
          <w:rFonts w:hint="eastAsia"/>
        </w:rPr>
        <w:t>部分：标准化文件的结构和起草规则》的规定起草。</w:t>
      </w:r>
    </w:p>
    <w:p w14:paraId="1A5FD505">
      <w:pPr>
        <w:pStyle w:val="26"/>
      </w:pPr>
      <w:r>
        <w:rPr>
          <w:rFonts w:hint="eastAsia"/>
        </w:rPr>
        <w:t>请注意本文件的某些内容可能涉及专利。本文件的发布机构不承担识别专利的责任。</w:t>
      </w:r>
    </w:p>
    <w:p w14:paraId="25559AEA">
      <w:pPr>
        <w:pStyle w:val="26"/>
      </w:pPr>
      <w:r>
        <w:rPr>
          <w:rFonts w:hint="eastAsia"/>
        </w:rPr>
        <w:t>本文件由山东科技咨询协会提出并归口。</w:t>
      </w:r>
    </w:p>
    <w:p w14:paraId="7D38E3F9">
      <w:pPr>
        <w:pStyle w:val="26"/>
        <w:rPr>
          <w:rFonts w:hint="eastAsia" w:eastAsia="宋体"/>
          <w:lang w:eastAsia="zh-CN"/>
        </w:rPr>
      </w:pPr>
      <w:r>
        <w:rPr>
          <w:rFonts w:hint="eastAsia"/>
        </w:rPr>
        <w:t>本文件起草单位：丽山健康（山东）集团有限公司、山东丽山生物科技有限公司、山东丽山细胞医学发展有限公司、槿椿康养发展（山东）有限公司、山东槿椿资产运营有限公司</w:t>
      </w:r>
      <w:r>
        <w:rPr>
          <w:rFonts w:hint="eastAsia"/>
          <w:lang w:eastAsia="zh-CN"/>
        </w:rPr>
        <w:t>。</w:t>
      </w:r>
    </w:p>
    <w:p w14:paraId="696CFD2D">
      <w:pPr>
        <w:pStyle w:val="26"/>
        <w:rPr>
          <w:rFonts w:hint="eastAsia" w:eastAsia="宋体"/>
          <w:lang w:eastAsia="zh-CN"/>
        </w:rPr>
        <w:sectPr>
          <w:headerReference r:id="rId3" w:type="default"/>
          <w:footerReference r:id="rId4" w:type="default"/>
          <w:pgSz w:w="11906" w:h="16838"/>
          <w:pgMar w:top="567" w:right="1134" w:bottom="1134" w:left="1418" w:header="1418" w:footer="1134" w:gutter="0"/>
          <w:pgNumType w:fmt="upperRoman" w:start="1"/>
          <w:cols w:space="425" w:num="1"/>
          <w:formProt w:val="0"/>
          <w:docGrid w:type="lines" w:linePitch="312" w:charSpace="0"/>
        </w:sectPr>
      </w:pPr>
      <w:r>
        <w:rPr>
          <w:rFonts w:hint="eastAsia"/>
        </w:rPr>
        <w:t>本文件主要起草人：高俊、闫礼德、房路、刘国朋、孔小江</w:t>
      </w:r>
      <w:r>
        <w:rPr>
          <w:rFonts w:hint="eastAsia"/>
          <w:lang w:eastAsia="zh-CN"/>
        </w:rPr>
        <w:t>、</w:t>
      </w:r>
      <w:r>
        <w:rPr>
          <w:rFonts w:hint="eastAsia"/>
        </w:rPr>
        <w:t>闫纪昌、姜頔、李茂新</w:t>
      </w:r>
      <w:r>
        <w:rPr>
          <w:rFonts w:hint="eastAsia"/>
          <w:lang w:eastAsia="zh-CN"/>
        </w:rPr>
        <w:t>、</w:t>
      </w:r>
      <w:r>
        <w:rPr>
          <w:rFonts w:hint="eastAsia"/>
        </w:rPr>
        <w:t>刘璐、祝天成</w:t>
      </w:r>
      <w:r>
        <w:rPr>
          <w:rFonts w:hint="eastAsia"/>
          <w:lang w:eastAsia="zh-CN"/>
        </w:rPr>
        <w:t>、</w:t>
      </w:r>
      <w:r>
        <w:rPr>
          <w:rFonts w:hint="eastAsia"/>
        </w:rPr>
        <w:t>刘晓君</w:t>
      </w:r>
      <w:r>
        <w:rPr>
          <w:rFonts w:hint="eastAsia"/>
          <w:lang w:eastAsia="zh-CN"/>
        </w:rPr>
        <w:t>、</w:t>
      </w:r>
      <w:r>
        <w:rPr>
          <w:rFonts w:hint="eastAsia"/>
        </w:rPr>
        <w:t>吴燕、房志、王昊</w:t>
      </w:r>
      <w:r>
        <w:rPr>
          <w:rFonts w:hint="eastAsia"/>
          <w:lang w:eastAsia="zh-CN"/>
        </w:rPr>
        <w:t>、</w:t>
      </w:r>
      <w:r>
        <w:rPr>
          <w:rFonts w:hint="eastAsia"/>
        </w:rPr>
        <w:t>王子成</w:t>
      </w:r>
      <w:r>
        <w:rPr>
          <w:rFonts w:hint="eastAsia"/>
          <w:lang w:eastAsia="zh-CN"/>
        </w:rPr>
        <w:t>、</w:t>
      </w:r>
      <w:r>
        <w:rPr>
          <w:rFonts w:hint="eastAsia"/>
        </w:rPr>
        <w:t>黄进山</w:t>
      </w:r>
      <w:r>
        <w:rPr>
          <w:rFonts w:hint="eastAsia"/>
          <w:lang w:eastAsia="zh-CN"/>
        </w:rPr>
        <w:t>、</w:t>
      </w:r>
      <w:r>
        <w:rPr>
          <w:rFonts w:hint="eastAsia"/>
        </w:rPr>
        <w:t>王培明、杨敬、纪元</w:t>
      </w:r>
      <w:r>
        <w:rPr>
          <w:rFonts w:hint="eastAsia"/>
          <w:lang w:eastAsia="zh-CN"/>
        </w:rPr>
        <w:t>、</w:t>
      </w:r>
      <w:r>
        <w:rPr>
          <w:rFonts w:hint="eastAsia"/>
        </w:rPr>
        <w:t>王晓旭、翟贵良、李娜</w:t>
      </w:r>
      <w:r>
        <w:rPr>
          <w:rFonts w:hint="eastAsia"/>
          <w:lang w:eastAsia="zh-CN"/>
        </w:rPr>
        <w:t>、</w:t>
      </w:r>
      <w:r>
        <w:rPr>
          <w:rFonts w:hint="eastAsia"/>
        </w:rPr>
        <w:t>胡欣宇</w:t>
      </w:r>
      <w:r>
        <w:rPr>
          <w:rFonts w:hint="eastAsia"/>
          <w:lang w:eastAsia="zh-CN"/>
        </w:rPr>
        <w:t>、</w:t>
      </w:r>
      <w:r>
        <w:rPr>
          <w:rFonts w:hint="eastAsia"/>
        </w:rPr>
        <w:t>王新钰</w:t>
      </w:r>
      <w:r>
        <w:rPr>
          <w:rFonts w:hint="eastAsia"/>
          <w:lang w:eastAsia="zh-CN"/>
        </w:rPr>
        <w:t>、</w:t>
      </w:r>
      <w:r>
        <w:rPr>
          <w:rFonts w:hint="eastAsia"/>
        </w:rPr>
        <w:t>王敏旭</w:t>
      </w:r>
      <w:r>
        <w:rPr>
          <w:rFonts w:hint="eastAsia"/>
          <w:lang w:eastAsia="zh-CN"/>
        </w:rPr>
        <w:t>、</w:t>
      </w:r>
      <w:r>
        <w:rPr>
          <w:rFonts w:hint="eastAsia"/>
        </w:rPr>
        <w:t>冯友欢</w:t>
      </w:r>
      <w:r>
        <w:rPr>
          <w:rFonts w:hint="eastAsia"/>
          <w:lang w:eastAsia="zh-CN"/>
        </w:rPr>
        <w:t>。</w:t>
      </w:r>
      <w:bookmarkStart w:id="23" w:name="_GoBack"/>
      <w:bookmarkEnd w:id="23"/>
    </w:p>
    <w:p w14:paraId="64E25284">
      <w:pPr>
        <w:pStyle w:val="56"/>
      </w:pPr>
      <w:sdt>
        <w:sdtPr>
          <w:alias w:val="标准名称"/>
          <w:tag w:val="标准名称"/>
          <w:id w:val="1795105741"/>
          <w:lock w:val="sdtLocked"/>
          <w:placeholder>
            <w:docPart w:val="111"/>
          </w:placeholder>
          <w:text w:multiLine="1"/>
        </w:sdtPr>
        <w:sdtContent>
          <w:r>
            <w:rPr>
              <w:rFonts w:hint="eastAsia"/>
            </w:rPr>
            <w:t>基因测序公共服务平台建设规范</w:t>
          </w:r>
        </w:sdtContent>
      </w:sdt>
      <w:bookmarkStart w:id="18" w:name="StandardName"/>
      <w:bookmarkEnd w:id="18"/>
    </w:p>
    <w:p w14:paraId="3F4C151C">
      <w:pPr>
        <w:pStyle w:val="51"/>
        <w:spacing w:before="312" w:after="312"/>
      </w:pPr>
      <w:bookmarkStart w:id="19" w:name="_Toc160821106"/>
      <w:r>
        <w:rPr>
          <w:rFonts w:hint="eastAsia"/>
        </w:rPr>
        <w:t>范围</w:t>
      </w:r>
      <w:bookmarkEnd w:id="19"/>
    </w:p>
    <w:p w14:paraId="06E19B8C">
      <w:pPr>
        <w:adjustRightInd w:val="0"/>
        <w:snapToGrid w:val="0"/>
        <w:ind w:firstLine="420" w:firstLineChars="200"/>
        <w:rPr>
          <w:rFonts w:hint="eastAsia" w:ascii="宋体" w:hAnsi="宋体"/>
        </w:rPr>
      </w:pPr>
      <w:bookmarkStart w:id="20" w:name="_Toc160821107"/>
      <w:r>
        <w:rPr>
          <w:rFonts w:hint="eastAsia" w:ascii="宋体" w:hAnsi="宋体"/>
        </w:rPr>
        <w:t>本文件规定了基因测序公共服务平台的实验室设计与建设、设备仪器管理、数据管理与信息安全、人员培训与资质、记录与报告、客户服务与反馈、伦理遵守。</w:t>
      </w:r>
    </w:p>
    <w:p w14:paraId="13FE646C">
      <w:pPr>
        <w:pStyle w:val="156"/>
        <w:ind w:firstLine="420"/>
      </w:pPr>
      <w:r>
        <w:rPr>
          <w:rFonts w:hint="eastAsia"/>
        </w:rPr>
        <w:t>本文件适用于基因测序公共服务平台信息化建设工作。</w:t>
      </w:r>
    </w:p>
    <w:p w14:paraId="1B37534B">
      <w:pPr>
        <w:pStyle w:val="51"/>
        <w:spacing w:before="312" w:after="312"/>
      </w:pPr>
      <w:r>
        <w:rPr>
          <w:rFonts w:hint="eastAsia"/>
        </w:rPr>
        <w:t>规范性引用文件</w:t>
      </w:r>
      <w:bookmarkEnd w:id="20"/>
    </w:p>
    <w:p w14:paraId="4BA37F16">
      <w:pPr>
        <w:pStyle w:val="26"/>
        <w:rPr>
          <w:rFonts w:hint="eastAsia"/>
        </w:rPr>
      </w:pPr>
      <w:r>
        <w:rPr>
          <w:rFonts w:hint="eastAsia"/>
        </w:rPr>
        <w:t>本文件没有规范性引用文件。</w:t>
      </w:r>
    </w:p>
    <w:p w14:paraId="63F9F8F9">
      <w:pPr>
        <w:pStyle w:val="51"/>
        <w:keepNext w:val="0"/>
        <w:keepLines w:val="0"/>
        <w:pageBreakBefore w:val="0"/>
        <w:widowControl/>
        <w:kinsoku/>
        <w:wordWrap/>
        <w:overflowPunct/>
        <w:topLinePunct w:val="0"/>
        <w:autoSpaceDE/>
        <w:autoSpaceDN/>
        <w:bidi w:val="0"/>
        <w:adjustRightInd/>
        <w:snapToGrid/>
        <w:spacing w:before="312" w:after="312"/>
        <w:textAlignment w:val="auto"/>
      </w:pPr>
      <w:bookmarkStart w:id="21" w:name="_Toc160821108"/>
      <w:r>
        <w:rPr>
          <w:rFonts w:hint="eastAsia"/>
        </w:rPr>
        <w:t>术语和</w:t>
      </w:r>
      <w:r>
        <w:t>定义</w:t>
      </w:r>
      <w:bookmarkEnd w:id="21"/>
    </w:p>
    <w:p w14:paraId="44F5A977">
      <w:pPr>
        <w:pStyle w:val="26"/>
      </w:pPr>
      <w:r>
        <w:rPr>
          <w:rFonts w:hint="eastAsia"/>
        </w:rPr>
        <w:t>下列术语和定义适用于本文件。</w:t>
      </w:r>
    </w:p>
    <w:p w14:paraId="0284D22F">
      <w:pPr>
        <w:pStyle w:val="48"/>
        <w:keepNext w:val="0"/>
        <w:keepLines w:val="0"/>
        <w:pageBreakBefore w:val="0"/>
        <w:widowControl/>
        <w:kinsoku/>
        <w:wordWrap/>
        <w:overflowPunct/>
        <w:topLinePunct w:val="0"/>
        <w:autoSpaceDE/>
        <w:autoSpaceDN/>
        <w:bidi w:val="0"/>
        <w:snapToGrid/>
        <w:spacing w:before="157" w:beforeLines="50" w:after="157" w:afterLines="50"/>
        <w:textAlignment w:val="auto"/>
      </w:pPr>
      <w:bookmarkStart w:id="22" w:name="_Toc160821109"/>
      <w:bookmarkEnd w:id="22"/>
    </w:p>
    <w:p w14:paraId="23CA38D3">
      <w:pPr>
        <w:pStyle w:val="33"/>
        <w:keepNext w:val="0"/>
        <w:keepLines w:val="0"/>
        <w:pageBreakBefore w:val="0"/>
        <w:widowControl/>
        <w:kinsoku/>
        <w:wordWrap/>
        <w:overflowPunct/>
        <w:topLinePunct w:val="0"/>
        <w:autoSpaceDE/>
        <w:autoSpaceDN/>
        <w:bidi w:val="0"/>
        <w:snapToGrid/>
        <w:spacing w:before="157" w:beforeLines="50" w:after="157" w:afterLines="50"/>
        <w:ind w:firstLine="420" w:firstLineChars="200"/>
        <w:textAlignment w:val="auto"/>
        <w:rPr>
          <w:rFonts w:hint="eastAsia" w:ascii="黑体" w:hAnsi="黑体" w:eastAsia="黑体" w:cs="黑体"/>
          <w:lang w:val="en-US" w:bidi="ar-SA"/>
        </w:rPr>
      </w:pPr>
      <w:r>
        <w:rPr>
          <w:rFonts w:hint="eastAsia" w:ascii="黑体" w:hAnsi="黑体" w:eastAsia="黑体" w:cs="黑体"/>
          <w:lang w:val="en-US" w:bidi="ar-SA"/>
        </w:rPr>
        <w:t>HEPA过滤器</w:t>
      </w:r>
    </w:p>
    <w:p w14:paraId="16834527">
      <w:pPr>
        <w:pStyle w:val="12"/>
        <w:ind w:firstLine="420" w:firstLineChars="200"/>
        <w:rPr>
          <w:color w:val="auto"/>
          <w:kern w:val="2"/>
        </w:rPr>
      </w:pPr>
      <w:r>
        <w:rPr>
          <w:color w:val="auto"/>
          <w:kern w:val="2"/>
        </w:rPr>
        <w:t>高效空气过滤器主要用于捕集0.5μm以上的颗粒灰尘及各种</w:t>
      </w:r>
      <w:r>
        <w:fldChar w:fldCharType="begin"/>
      </w:r>
      <w:r>
        <w:instrText xml:space="preserve"> HYPERLINK "https://baike.baidu.com/item/%E6%82%AC%E6%B5%AE%E7%89%A9/7679918?fromModule=lemma_inlink" \t "https://baike.baidu.com/item/%E9%AB%98%E6%95%88%E7%A9%BA%E6%B0%94%E8%BF%87%E6%BB%A4%E5%99%A8/_blank" </w:instrText>
      </w:r>
      <w:r>
        <w:fldChar w:fldCharType="separate"/>
      </w:r>
      <w:r>
        <w:rPr>
          <w:color w:val="auto"/>
          <w:kern w:val="2"/>
        </w:rPr>
        <w:t>悬浮物</w:t>
      </w:r>
      <w:r>
        <w:rPr>
          <w:color w:val="auto"/>
          <w:kern w:val="2"/>
        </w:rPr>
        <w:fldChar w:fldCharType="end"/>
      </w:r>
      <w:r>
        <w:rPr>
          <w:color w:val="auto"/>
          <w:kern w:val="2"/>
        </w:rPr>
        <w:t>。</w:t>
      </w:r>
    </w:p>
    <w:p w14:paraId="28052934">
      <w:pPr>
        <w:keepNext w:val="0"/>
        <w:keepLines w:val="0"/>
        <w:pageBreakBefore w:val="0"/>
        <w:kinsoku/>
        <w:wordWrap/>
        <w:overflowPunct/>
        <w:topLinePunct w:val="0"/>
        <w:autoSpaceDE/>
        <w:autoSpaceDN/>
        <w:bidi w:val="0"/>
        <w:adjustRightInd w:val="0"/>
        <w:snapToGrid w:val="0"/>
        <w:spacing w:before="157" w:beforeLines="50" w:after="157" w:afterLines="50"/>
        <w:ind w:left="420" w:hanging="420" w:hangingChars="200"/>
        <w:textAlignment w:val="auto"/>
        <w:rPr>
          <w:rFonts w:hint="eastAsia" w:ascii="黑体" w:hAnsi="黑体" w:eastAsia="黑体"/>
        </w:rPr>
      </w:pPr>
      <w:r>
        <w:rPr>
          <w:rFonts w:hint="eastAsia" w:ascii="黑体" w:hAnsi="黑体" w:eastAsia="黑体"/>
        </w:rPr>
        <w:t>3.2</w:t>
      </w:r>
    </w:p>
    <w:p w14:paraId="5EBD45DC">
      <w:pPr>
        <w:pStyle w:val="33"/>
        <w:keepNext w:val="0"/>
        <w:keepLines w:val="0"/>
        <w:pageBreakBefore w:val="0"/>
        <w:kinsoku/>
        <w:wordWrap/>
        <w:overflowPunct/>
        <w:topLinePunct w:val="0"/>
        <w:autoSpaceDE/>
        <w:autoSpaceDN/>
        <w:bidi w:val="0"/>
        <w:adjustRightInd w:val="0"/>
        <w:spacing w:before="157" w:beforeLines="50" w:after="157" w:afterLines="50"/>
        <w:ind w:firstLine="420" w:firstLineChars="200"/>
        <w:textAlignment w:val="auto"/>
        <w:rPr>
          <w:rFonts w:hint="eastAsia" w:ascii="黑体" w:hAnsi="黑体" w:eastAsia="黑体" w:cs="黑体"/>
          <w:lang w:val="en-US" w:bidi="ar-SA"/>
        </w:rPr>
      </w:pPr>
      <w:r>
        <w:rPr>
          <w:rFonts w:hint="eastAsia" w:ascii="黑体" w:hAnsi="黑体" w:eastAsia="黑体" w:cs="黑体"/>
          <w:lang w:val="en-US" w:bidi="ar-SA"/>
        </w:rPr>
        <w:t>BSL 生物安全实验室</w:t>
      </w:r>
    </w:p>
    <w:p w14:paraId="36B1A283">
      <w:pPr>
        <w:pStyle w:val="33"/>
        <w:ind w:firstLine="420" w:firstLineChars="200"/>
        <w:rPr>
          <w:rFonts w:ascii="Times New Roman" w:hAnsi="Times New Roman"/>
          <w:lang w:val="en-US" w:bidi="ar-SA"/>
        </w:rPr>
      </w:pPr>
      <w:r>
        <w:rPr>
          <w:rFonts w:hint="eastAsia" w:ascii="Times New Roman" w:hAnsi="Times New Roman"/>
          <w:lang w:val="en-US" w:bidi="ar-SA"/>
        </w:rPr>
        <w:t>进行生物实验的国家或地区监督机构认证的具有一定生物安全标准的实验室。BSL可根据实验所涉及的生物安全性别级分为BSL-1、BSL-2、BSL-3和BSL-4四级。BSL在分子生物学、医学、生物技术等领域有广泛应用，保证了生物实验的安全性和有效性。</w:t>
      </w:r>
    </w:p>
    <w:p w14:paraId="323B314E">
      <w:pPr>
        <w:pStyle w:val="26"/>
        <w:keepNext w:val="0"/>
        <w:keepLines w:val="0"/>
        <w:pageBreakBefore w:val="0"/>
        <w:widowControl/>
        <w:kinsoku/>
        <w:wordWrap/>
        <w:overflowPunct/>
        <w:topLinePunct w:val="0"/>
        <w:bidi w:val="0"/>
        <w:snapToGrid/>
        <w:spacing w:before="157" w:beforeLines="50" w:after="157" w:afterLines="50"/>
        <w:ind w:firstLine="0" w:firstLineChars="0"/>
        <w:textAlignment w:val="auto"/>
        <w:rPr>
          <w:rFonts w:hint="eastAsia" w:ascii="黑体" w:hAnsi="黑体" w:eastAsia="黑体"/>
          <w:kern w:val="2"/>
          <w:szCs w:val="24"/>
        </w:rPr>
      </w:pPr>
      <w:r>
        <w:rPr>
          <w:rFonts w:hint="eastAsia" w:ascii="黑体" w:hAnsi="黑体" w:eastAsia="黑体"/>
          <w:kern w:val="2"/>
          <w:szCs w:val="24"/>
        </w:rPr>
        <w:t>3.3</w:t>
      </w:r>
    </w:p>
    <w:p w14:paraId="78E9699A">
      <w:pPr>
        <w:pStyle w:val="33"/>
        <w:keepNext w:val="0"/>
        <w:keepLines w:val="0"/>
        <w:pageBreakBefore w:val="0"/>
        <w:widowControl/>
        <w:kinsoku/>
        <w:wordWrap/>
        <w:overflowPunct/>
        <w:topLinePunct w:val="0"/>
        <w:bidi w:val="0"/>
        <w:snapToGrid/>
        <w:spacing w:before="157" w:beforeLines="50" w:after="157" w:afterLines="50"/>
        <w:ind w:firstLine="420" w:firstLineChars="200"/>
        <w:textAlignment w:val="auto"/>
        <w:rPr>
          <w:rFonts w:hint="eastAsia" w:ascii="黑体" w:hAnsi="黑体" w:eastAsia="黑体" w:cs="黑体"/>
          <w:lang w:val="en-US" w:bidi="ar-SA"/>
        </w:rPr>
      </w:pPr>
      <w:r>
        <w:rPr>
          <w:rFonts w:hint="eastAsia" w:ascii="黑体" w:hAnsi="黑体" w:eastAsia="黑体" w:cs="黑体"/>
          <w:lang w:val="en-US" w:bidi="ar-SA"/>
        </w:rPr>
        <w:t>PCR 聚合酶链式反应</w:t>
      </w:r>
    </w:p>
    <w:p w14:paraId="30C6D621">
      <w:pPr>
        <w:pStyle w:val="26"/>
        <w:rPr>
          <w:rFonts w:ascii="Times New Roman"/>
          <w:kern w:val="2"/>
          <w:szCs w:val="24"/>
        </w:rPr>
      </w:pPr>
      <w:r>
        <w:rPr>
          <w:rFonts w:hint="eastAsia" w:ascii="Times New Roman"/>
          <w:kern w:val="2"/>
          <w:szCs w:val="24"/>
        </w:rPr>
        <w:t>聚合酶链式反应（PCR）是一种用于放大扩增特定的DNA片段的</w:t>
      </w:r>
      <w:r>
        <w:fldChar w:fldCharType="begin"/>
      </w:r>
      <w:r>
        <w:instrText xml:space="preserve"> HYPERLINK "https://baike.baidu.com/item/%E5%88%86%E5%AD%90%E7%94%9F%E7%89%A9%E5%AD%A6%E6%8A%80%E6%9C%AF/10973083?fromModule=lemma_inlink" \t "https://baike.baidu.com/item/%E8%81%9A%E5%90%88%E9%85%B6%E9%93%BE%E5%BC%8F%E5%8F%8D%E5%BA%94/_blank" </w:instrText>
      </w:r>
      <w:r>
        <w:fldChar w:fldCharType="separate"/>
      </w:r>
      <w:r>
        <w:rPr>
          <w:rFonts w:ascii="Times New Roman"/>
          <w:kern w:val="2"/>
          <w:szCs w:val="24"/>
        </w:rPr>
        <w:t>分子生物学技术</w:t>
      </w:r>
      <w:r>
        <w:rPr>
          <w:rFonts w:ascii="Times New Roman"/>
          <w:kern w:val="2"/>
          <w:szCs w:val="24"/>
        </w:rPr>
        <w:fldChar w:fldCharType="end"/>
      </w:r>
      <w:r>
        <w:rPr>
          <w:rFonts w:ascii="Times New Roman"/>
          <w:kern w:val="2"/>
          <w:szCs w:val="24"/>
        </w:rPr>
        <w:t>，它可看作是生物体外的特殊DNA复制，PCR的最大特点是能将微量的DNA大幅增加。</w:t>
      </w:r>
    </w:p>
    <w:p w14:paraId="12F64C8C">
      <w:pPr>
        <w:pStyle w:val="26"/>
        <w:keepNext w:val="0"/>
        <w:keepLines w:val="0"/>
        <w:pageBreakBefore w:val="0"/>
        <w:widowControl/>
        <w:kinsoku/>
        <w:wordWrap/>
        <w:overflowPunct/>
        <w:topLinePunct w:val="0"/>
        <w:bidi w:val="0"/>
        <w:snapToGrid/>
        <w:spacing w:before="157" w:beforeLines="50" w:after="157" w:afterLines="50"/>
        <w:ind w:firstLine="0" w:firstLineChars="0"/>
        <w:textAlignment w:val="auto"/>
        <w:rPr>
          <w:rFonts w:hint="eastAsia" w:ascii="黑体" w:hAnsi="黑体" w:eastAsia="黑体" w:cs="黑体"/>
          <w:kern w:val="2"/>
          <w:szCs w:val="24"/>
        </w:rPr>
      </w:pPr>
      <w:r>
        <w:rPr>
          <w:rFonts w:hint="eastAsia" w:ascii="黑体" w:hAnsi="黑体" w:eastAsia="黑体" w:cs="黑体"/>
          <w:kern w:val="2"/>
          <w:szCs w:val="24"/>
        </w:rPr>
        <w:t>3.4</w:t>
      </w:r>
    </w:p>
    <w:p w14:paraId="0147C909">
      <w:pPr>
        <w:pStyle w:val="33"/>
        <w:keepNext w:val="0"/>
        <w:keepLines w:val="0"/>
        <w:pageBreakBefore w:val="0"/>
        <w:widowControl/>
        <w:kinsoku/>
        <w:wordWrap/>
        <w:overflowPunct/>
        <w:topLinePunct w:val="0"/>
        <w:bidi w:val="0"/>
        <w:snapToGrid/>
        <w:spacing w:before="157" w:beforeLines="50" w:after="157" w:afterLines="50"/>
        <w:ind w:firstLine="420" w:firstLineChars="200"/>
        <w:textAlignment w:val="auto"/>
        <w:rPr>
          <w:rFonts w:hint="eastAsia" w:ascii="黑体" w:hAnsi="黑体" w:eastAsia="黑体" w:cs="黑体"/>
          <w:lang w:val="en-US" w:bidi="ar-SA"/>
        </w:rPr>
      </w:pPr>
      <w:r>
        <w:rPr>
          <w:rFonts w:hint="eastAsia" w:ascii="黑体" w:hAnsi="黑体" w:eastAsia="黑体" w:cs="黑体"/>
          <w:lang w:val="en-US" w:bidi="ar-SA"/>
        </w:rPr>
        <w:t>RFID 射频识别</w:t>
      </w:r>
    </w:p>
    <w:p w14:paraId="54ECA1AD">
      <w:pPr>
        <w:pStyle w:val="26"/>
        <w:rPr>
          <w:rFonts w:ascii="Times New Roman"/>
          <w:kern w:val="2"/>
          <w:szCs w:val="24"/>
        </w:rPr>
      </w:pPr>
      <w:r>
        <w:rPr>
          <w:rFonts w:hint="eastAsia" w:ascii="Times New Roman"/>
          <w:kern w:val="2"/>
          <w:szCs w:val="24"/>
        </w:rPr>
        <w:t>其原理为阅读器与标签之间进行非接触式的数据通信，达到识别目标的目的。</w:t>
      </w:r>
    </w:p>
    <w:p w14:paraId="779A0AFB">
      <w:pPr>
        <w:pStyle w:val="26"/>
        <w:keepNext w:val="0"/>
        <w:keepLines w:val="0"/>
        <w:pageBreakBefore w:val="0"/>
        <w:widowControl/>
        <w:kinsoku/>
        <w:wordWrap/>
        <w:overflowPunct/>
        <w:topLinePunct w:val="0"/>
        <w:bidi w:val="0"/>
        <w:snapToGrid/>
        <w:spacing w:before="157" w:beforeLines="50" w:after="157" w:afterLines="50"/>
        <w:ind w:firstLine="0" w:firstLineChars="0"/>
        <w:textAlignment w:val="auto"/>
        <w:rPr>
          <w:rFonts w:hint="eastAsia" w:ascii="黑体" w:hAnsi="黑体" w:eastAsia="黑体"/>
          <w:kern w:val="2"/>
          <w:szCs w:val="24"/>
        </w:rPr>
      </w:pPr>
      <w:r>
        <w:rPr>
          <w:rFonts w:hint="eastAsia" w:ascii="黑体" w:hAnsi="黑体" w:eastAsia="黑体"/>
          <w:kern w:val="2"/>
          <w:szCs w:val="24"/>
        </w:rPr>
        <w:t>3.5</w:t>
      </w:r>
    </w:p>
    <w:p w14:paraId="34006A94">
      <w:pPr>
        <w:pStyle w:val="33"/>
        <w:keepNext w:val="0"/>
        <w:keepLines w:val="0"/>
        <w:pageBreakBefore w:val="0"/>
        <w:widowControl/>
        <w:kinsoku/>
        <w:wordWrap/>
        <w:overflowPunct/>
        <w:topLinePunct w:val="0"/>
        <w:bidi w:val="0"/>
        <w:snapToGrid/>
        <w:spacing w:before="157" w:beforeLines="50" w:after="157" w:afterLines="50"/>
        <w:ind w:firstLine="420" w:firstLineChars="200"/>
        <w:textAlignment w:val="auto"/>
        <w:rPr>
          <w:rFonts w:hint="eastAsia" w:ascii="黑体" w:hAnsi="黑体" w:eastAsia="黑体" w:cs="黑体"/>
          <w:lang w:val="en-US" w:bidi="ar-SA"/>
        </w:rPr>
      </w:pPr>
      <w:r>
        <w:rPr>
          <w:rFonts w:hint="eastAsia" w:ascii="黑体" w:hAnsi="黑体" w:eastAsia="黑体" w:cs="黑体"/>
          <w:lang w:val="en-US" w:bidi="ar-SA"/>
        </w:rPr>
        <w:t>FASTQ格式</w:t>
      </w:r>
    </w:p>
    <w:p w14:paraId="5724512A">
      <w:pPr>
        <w:pStyle w:val="26"/>
        <w:rPr>
          <w:rFonts w:ascii="Times New Roman"/>
          <w:kern w:val="2"/>
          <w:szCs w:val="24"/>
        </w:rPr>
      </w:pPr>
      <w:r>
        <w:rPr>
          <w:rFonts w:hint="eastAsia" w:ascii="Times New Roman"/>
          <w:kern w:val="2"/>
          <w:szCs w:val="24"/>
        </w:rPr>
        <w:t>一种存储了生物序列（通常是</w:t>
      </w:r>
      <w:r>
        <w:fldChar w:fldCharType="begin"/>
      </w:r>
      <w:r>
        <w:instrText xml:space="preserve"> HYPERLINK "https://baike.baidu.com/item/%E6%A0%B8%E9%85%B8/530683?fromModule=lemma_inlink" \t "https://baike.baidu.com/item/_blank" </w:instrText>
      </w:r>
      <w:r>
        <w:fldChar w:fldCharType="separate"/>
      </w:r>
      <w:r>
        <w:rPr>
          <w:rFonts w:ascii="Times New Roman"/>
          <w:kern w:val="2"/>
          <w:szCs w:val="24"/>
        </w:rPr>
        <w:t>核酸</w:t>
      </w:r>
      <w:r>
        <w:rPr>
          <w:rFonts w:ascii="Times New Roman"/>
          <w:kern w:val="2"/>
          <w:szCs w:val="24"/>
        </w:rPr>
        <w:fldChar w:fldCharType="end"/>
      </w:r>
      <w:r>
        <w:rPr>
          <w:rFonts w:ascii="Times New Roman"/>
          <w:kern w:val="2"/>
          <w:szCs w:val="24"/>
        </w:rPr>
        <w:t>序列）以及相应的质量评价的文本格式</w:t>
      </w:r>
      <w:r>
        <w:rPr>
          <w:rFonts w:hint="eastAsia" w:ascii="Times New Roman"/>
          <w:kern w:val="2"/>
          <w:szCs w:val="24"/>
        </w:rPr>
        <w:t>。</w:t>
      </w:r>
    </w:p>
    <w:p w14:paraId="784C1B9B">
      <w:pPr>
        <w:pStyle w:val="26"/>
        <w:keepNext w:val="0"/>
        <w:keepLines w:val="0"/>
        <w:pageBreakBefore w:val="0"/>
        <w:widowControl/>
        <w:kinsoku/>
        <w:wordWrap/>
        <w:overflowPunct/>
        <w:topLinePunct w:val="0"/>
        <w:bidi w:val="0"/>
        <w:snapToGrid/>
        <w:spacing w:before="157" w:beforeLines="50" w:after="157" w:afterLines="50"/>
        <w:ind w:firstLine="0" w:firstLineChars="0"/>
        <w:textAlignment w:val="auto"/>
        <w:rPr>
          <w:rFonts w:hint="eastAsia" w:ascii="黑体" w:hAnsi="黑体" w:eastAsia="黑体"/>
          <w:kern w:val="2"/>
          <w:szCs w:val="24"/>
        </w:rPr>
      </w:pPr>
      <w:r>
        <w:rPr>
          <w:rFonts w:hint="eastAsia" w:ascii="黑体" w:hAnsi="黑体" w:eastAsia="黑体"/>
          <w:kern w:val="2"/>
          <w:szCs w:val="24"/>
        </w:rPr>
        <w:t>3.6</w:t>
      </w:r>
    </w:p>
    <w:p w14:paraId="1B896D1A">
      <w:pPr>
        <w:pStyle w:val="33"/>
        <w:keepNext w:val="0"/>
        <w:keepLines w:val="0"/>
        <w:pageBreakBefore w:val="0"/>
        <w:widowControl/>
        <w:kinsoku/>
        <w:wordWrap/>
        <w:overflowPunct/>
        <w:topLinePunct w:val="0"/>
        <w:bidi w:val="0"/>
        <w:snapToGrid/>
        <w:spacing w:before="157" w:beforeLines="50" w:after="157" w:afterLines="50"/>
        <w:ind w:firstLine="420" w:firstLineChars="200"/>
        <w:textAlignment w:val="auto"/>
        <w:rPr>
          <w:rFonts w:hint="eastAsia" w:ascii="黑体" w:hAnsi="黑体" w:eastAsia="黑体" w:cs="黑体"/>
          <w:lang w:val="en-US" w:bidi="ar-SA"/>
        </w:rPr>
      </w:pPr>
      <w:r>
        <w:rPr>
          <w:rFonts w:hint="eastAsia" w:ascii="黑体" w:hAnsi="黑体" w:eastAsia="黑体" w:cs="黑体"/>
          <w:lang w:val="en-US" w:bidi="ar-SA"/>
        </w:rPr>
        <w:t>FASTA格式</w:t>
      </w:r>
    </w:p>
    <w:p w14:paraId="7F05CF74">
      <w:pPr>
        <w:pStyle w:val="26"/>
        <w:rPr>
          <w:rFonts w:ascii="Times New Roman"/>
          <w:kern w:val="2"/>
          <w:szCs w:val="24"/>
        </w:rPr>
      </w:pPr>
      <w:r>
        <w:rPr>
          <w:rFonts w:hint="eastAsia" w:ascii="Times New Roman"/>
          <w:kern w:val="2"/>
          <w:szCs w:val="24"/>
        </w:rPr>
        <w:t>一种基于文本用于表示</w:t>
      </w:r>
      <w:r>
        <w:rPr>
          <w:rFonts w:ascii="Times New Roman"/>
          <w:kern w:val="2"/>
          <w:szCs w:val="24"/>
        </w:rPr>
        <w:t>核酸序列或</w:t>
      </w:r>
      <w:r>
        <w:fldChar w:fldCharType="begin"/>
      </w:r>
      <w:r>
        <w:instrText xml:space="preserve"> HYPERLINK "https://baike.baidu.com/item/%E5%A4%9A%E8%82%BD/1511295?fromModule=lemma_inlink" \t "https://baike.baidu.com/item/_blank" </w:instrText>
      </w:r>
      <w:r>
        <w:fldChar w:fldCharType="separate"/>
      </w:r>
      <w:r>
        <w:rPr>
          <w:rFonts w:ascii="Times New Roman"/>
          <w:kern w:val="2"/>
          <w:szCs w:val="24"/>
        </w:rPr>
        <w:t>多肽</w:t>
      </w:r>
      <w:r>
        <w:rPr>
          <w:rFonts w:ascii="Times New Roman"/>
          <w:kern w:val="2"/>
          <w:szCs w:val="24"/>
        </w:rPr>
        <w:fldChar w:fldCharType="end"/>
      </w:r>
      <w:r>
        <w:rPr>
          <w:rFonts w:ascii="Times New Roman"/>
          <w:kern w:val="2"/>
          <w:szCs w:val="24"/>
        </w:rPr>
        <w:t>序列的格式。其中</w:t>
      </w:r>
      <w:r>
        <w:fldChar w:fldCharType="begin"/>
      </w:r>
      <w:r>
        <w:instrText xml:space="preserve"> HYPERLINK "https://baike.baidu.com/item/%E6%A0%B8%E9%85%B8/530683?fromModule=lemma_inlink" \t "https://baike.baidu.com/item/_blank" </w:instrText>
      </w:r>
      <w:r>
        <w:fldChar w:fldCharType="separate"/>
      </w:r>
      <w:r>
        <w:rPr>
          <w:rFonts w:ascii="Times New Roman"/>
          <w:kern w:val="2"/>
          <w:szCs w:val="24"/>
        </w:rPr>
        <w:t>核酸</w:t>
      </w:r>
      <w:r>
        <w:rPr>
          <w:rFonts w:ascii="Times New Roman"/>
          <w:kern w:val="2"/>
          <w:szCs w:val="24"/>
        </w:rPr>
        <w:fldChar w:fldCharType="end"/>
      </w:r>
      <w:r>
        <w:rPr>
          <w:rFonts w:ascii="Times New Roman"/>
          <w:kern w:val="2"/>
          <w:szCs w:val="24"/>
        </w:rPr>
        <w:t>或氨基酸均以单个</w:t>
      </w:r>
      <w:r>
        <w:fldChar w:fldCharType="begin"/>
      </w:r>
      <w:r>
        <w:instrText xml:space="preserve"> HYPERLINK "https://baike.baidu.com/item/%E5%AD%97%E6%AF%8D/1710184?fromModule=lemma_inlink" \t "https://baike.baidu.com/item/_blank" </w:instrText>
      </w:r>
      <w:r>
        <w:fldChar w:fldCharType="separate"/>
      </w:r>
      <w:r>
        <w:rPr>
          <w:rFonts w:ascii="Times New Roman"/>
          <w:kern w:val="2"/>
          <w:szCs w:val="24"/>
        </w:rPr>
        <w:t>字母</w:t>
      </w:r>
      <w:r>
        <w:rPr>
          <w:rFonts w:ascii="Times New Roman"/>
          <w:kern w:val="2"/>
          <w:szCs w:val="24"/>
        </w:rPr>
        <w:fldChar w:fldCharType="end"/>
      </w:r>
      <w:r>
        <w:rPr>
          <w:rFonts w:ascii="Times New Roman"/>
          <w:kern w:val="2"/>
          <w:szCs w:val="24"/>
        </w:rPr>
        <w:t>来表示，且允许在序列前</w:t>
      </w:r>
      <w:r>
        <w:fldChar w:fldCharType="begin"/>
      </w:r>
      <w:r>
        <w:instrText xml:space="preserve"> HYPERLINK "https://baike.baidu.com/item/%E6%B7%BB%E5%8A%A0/9677082?fromModule=lemma_inlink" \t "https://baike.baidu.com/item/_blank" </w:instrText>
      </w:r>
      <w:r>
        <w:fldChar w:fldCharType="separate"/>
      </w:r>
      <w:r>
        <w:rPr>
          <w:rFonts w:ascii="Times New Roman"/>
          <w:kern w:val="2"/>
          <w:szCs w:val="24"/>
        </w:rPr>
        <w:t>添加</w:t>
      </w:r>
      <w:r>
        <w:rPr>
          <w:rFonts w:ascii="Times New Roman"/>
          <w:kern w:val="2"/>
          <w:szCs w:val="24"/>
        </w:rPr>
        <w:fldChar w:fldCharType="end"/>
      </w:r>
      <w:r>
        <w:rPr>
          <w:rFonts w:ascii="Times New Roman"/>
          <w:kern w:val="2"/>
          <w:szCs w:val="24"/>
        </w:rPr>
        <w:t>序列名及注释。该格式已成为生物信息学领域的一项标准。</w:t>
      </w:r>
    </w:p>
    <w:p w14:paraId="35D9534C">
      <w:pPr>
        <w:pStyle w:val="26"/>
        <w:keepNext w:val="0"/>
        <w:keepLines w:val="0"/>
        <w:pageBreakBefore w:val="0"/>
        <w:widowControl/>
        <w:kinsoku/>
        <w:wordWrap/>
        <w:overflowPunct/>
        <w:topLinePunct w:val="0"/>
        <w:bidi w:val="0"/>
        <w:snapToGrid/>
        <w:spacing w:before="157" w:beforeLines="50" w:after="157" w:afterLines="50"/>
        <w:ind w:firstLine="0" w:firstLineChars="0"/>
        <w:textAlignment w:val="auto"/>
        <w:rPr>
          <w:rFonts w:hint="eastAsia" w:ascii="黑体" w:hAnsi="黑体" w:eastAsia="黑体"/>
          <w:kern w:val="2"/>
          <w:szCs w:val="24"/>
        </w:rPr>
      </w:pPr>
      <w:r>
        <w:rPr>
          <w:rFonts w:hint="eastAsia" w:ascii="黑体" w:hAnsi="黑体" w:eastAsia="黑体"/>
          <w:kern w:val="2"/>
          <w:szCs w:val="24"/>
        </w:rPr>
        <w:t>3.7</w:t>
      </w:r>
    </w:p>
    <w:p w14:paraId="1BADF1E8">
      <w:pPr>
        <w:pStyle w:val="33"/>
        <w:keepNext w:val="0"/>
        <w:keepLines w:val="0"/>
        <w:pageBreakBefore w:val="0"/>
        <w:widowControl/>
        <w:kinsoku/>
        <w:wordWrap/>
        <w:overflowPunct/>
        <w:topLinePunct w:val="0"/>
        <w:bidi w:val="0"/>
        <w:snapToGrid/>
        <w:spacing w:before="157" w:beforeLines="50" w:after="157" w:afterLines="50"/>
        <w:ind w:firstLine="420" w:firstLineChars="200"/>
        <w:textAlignment w:val="auto"/>
        <w:rPr>
          <w:rFonts w:hint="eastAsia" w:ascii="黑体" w:hAnsi="黑体" w:eastAsia="黑体" w:cs="黑体"/>
          <w:lang w:val="en-US" w:bidi="ar-SA"/>
        </w:rPr>
      </w:pPr>
      <w:r>
        <w:rPr>
          <w:rFonts w:hint="eastAsia" w:ascii="黑体" w:hAnsi="黑体" w:eastAsia="黑体" w:cs="黑体"/>
          <w:lang w:val="en-US" w:bidi="ar-SA"/>
        </w:rPr>
        <w:t>reads测序片段</w:t>
      </w:r>
    </w:p>
    <w:p w14:paraId="486C5CE5">
      <w:pPr>
        <w:pStyle w:val="26"/>
        <w:rPr>
          <w:rFonts w:ascii="Times New Roman"/>
          <w:kern w:val="2"/>
          <w:szCs w:val="24"/>
        </w:rPr>
      </w:pPr>
      <w:r>
        <w:rPr>
          <w:rFonts w:hint="eastAsia" w:ascii="Times New Roman"/>
          <w:kern w:val="2"/>
          <w:szCs w:val="24"/>
        </w:rPr>
        <w:t>高通量测序技术产生的短核苷酸序列。常为几十到数百个碱基。</w:t>
      </w:r>
    </w:p>
    <w:p w14:paraId="15F5628B">
      <w:pPr>
        <w:pStyle w:val="26"/>
        <w:keepNext w:val="0"/>
        <w:keepLines w:val="0"/>
        <w:pageBreakBefore w:val="0"/>
        <w:widowControl/>
        <w:kinsoku/>
        <w:wordWrap/>
        <w:overflowPunct/>
        <w:topLinePunct w:val="0"/>
        <w:bidi w:val="0"/>
        <w:snapToGrid/>
        <w:spacing w:before="157" w:beforeLines="50" w:after="157" w:afterLines="50"/>
        <w:ind w:firstLine="0" w:firstLineChars="0"/>
        <w:textAlignment w:val="auto"/>
        <w:rPr>
          <w:rFonts w:hint="eastAsia" w:ascii="黑体" w:hAnsi="黑体" w:eastAsia="黑体"/>
          <w:kern w:val="2"/>
          <w:szCs w:val="24"/>
        </w:rPr>
      </w:pPr>
      <w:r>
        <w:rPr>
          <w:rFonts w:hint="eastAsia" w:ascii="黑体" w:hAnsi="黑体" w:eastAsia="黑体"/>
          <w:kern w:val="2"/>
          <w:szCs w:val="24"/>
        </w:rPr>
        <w:t>3.8</w:t>
      </w:r>
    </w:p>
    <w:p w14:paraId="6249EE11">
      <w:pPr>
        <w:pStyle w:val="33"/>
        <w:keepNext w:val="0"/>
        <w:keepLines w:val="0"/>
        <w:pageBreakBefore w:val="0"/>
        <w:widowControl/>
        <w:kinsoku/>
        <w:wordWrap/>
        <w:overflowPunct/>
        <w:topLinePunct w:val="0"/>
        <w:bidi w:val="0"/>
        <w:snapToGrid/>
        <w:spacing w:before="157" w:beforeLines="50" w:after="157" w:afterLines="50"/>
        <w:ind w:firstLine="420" w:firstLineChars="200"/>
        <w:textAlignment w:val="auto"/>
        <w:rPr>
          <w:rFonts w:hint="eastAsia" w:ascii="黑体" w:hAnsi="黑体" w:eastAsia="黑体" w:cs="黑体"/>
          <w:lang w:val="en-US" w:bidi="ar-SA"/>
        </w:rPr>
      </w:pPr>
      <w:r>
        <w:rPr>
          <w:rFonts w:hint="eastAsia" w:ascii="黑体" w:hAnsi="黑体" w:eastAsia="黑体" w:cs="黑体"/>
          <w:lang w:val="en-US" w:bidi="ar-SA"/>
        </w:rPr>
        <w:t>碱基</w:t>
      </w:r>
    </w:p>
    <w:p w14:paraId="6BB942C7">
      <w:pPr>
        <w:pStyle w:val="26"/>
        <w:rPr>
          <w:rFonts w:ascii="Times New Roman"/>
          <w:kern w:val="2"/>
          <w:szCs w:val="24"/>
        </w:rPr>
      </w:pPr>
      <w:r>
        <w:rPr>
          <w:rFonts w:hint="eastAsia" w:ascii="Times New Roman"/>
          <w:kern w:val="2"/>
          <w:szCs w:val="24"/>
        </w:rPr>
        <w:t>在化学中本是“</w:t>
      </w:r>
      <w:r>
        <w:fldChar w:fldCharType="begin"/>
      </w:r>
      <w:r>
        <w:instrText xml:space="preserve"> HYPERLINK "https://baike.baidu.com/item/%E7%A2%B1%E6%80%A7%E5%9F%BA%E5%9B%A2/12730230?fromModule=lemma_inlink" \t "https://baike.baidu.com/item/_blank" </w:instrText>
      </w:r>
      <w:r>
        <w:fldChar w:fldCharType="separate"/>
      </w:r>
      <w:r>
        <w:rPr>
          <w:rFonts w:ascii="Times New Roman"/>
          <w:kern w:val="2"/>
          <w:szCs w:val="24"/>
        </w:rPr>
        <w:t>碱性基团</w:t>
      </w:r>
      <w:r>
        <w:rPr>
          <w:rFonts w:ascii="Times New Roman"/>
          <w:kern w:val="2"/>
          <w:szCs w:val="24"/>
        </w:rPr>
        <w:fldChar w:fldCharType="end"/>
      </w:r>
      <w:r>
        <w:rPr>
          <w:rFonts w:hint="eastAsia" w:ascii="Times New Roman"/>
          <w:kern w:val="2"/>
          <w:szCs w:val="24"/>
          <w:lang w:eastAsia="zh-CN"/>
        </w:rPr>
        <w:t>”</w:t>
      </w:r>
      <w:r>
        <w:rPr>
          <w:rFonts w:ascii="Times New Roman"/>
          <w:kern w:val="2"/>
          <w:szCs w:val="24"/>
        </w:rPr>
        <w:t>的简称。</w:t>
      </w:r>
      <w:r>
        <w:rPr>
          <w:rFonts w:hint="eastAsia" w:ascii="Times New Roman"/>
          <w:kern w:val="2"/>
          <w:szCs w:val="24"/>
        </w:rPr>
        <w:t>在</w:t>
      </w:r>
      <w:r>
        <w:fldChar w:fldCharType="begin"/>
      </w:r>
      <w:r>
        <w:instrText xml:space="preserve"> HYPERLINK "https://baike.baidu.com/item/%E7%94%9F%E7%89%A9%E5%8C%96%E5%AD%A6/466073?fromModule=lemma_inlink" \t "https://baike.baidu.com/item/_blank" </w:instrText>
      </w:r>
      <w:r>
        <w:fldChar w:fldCharType="separate"/>
      </w:r>
      <w:r>
        <w:rPr>
          <w:rFonts w:ascii="Times New Roman"/>
          <w:kern w:val="2"/>
          <w:szCs w:val="24"/>
        </w:rPr>
        <w:t>生物化学</w:t>
      </w:r>
      <w:r>
        <w:rPr>
          <w:rFonts w:ascii="Times New Roman"/>
          <w:kern w:val="2"/>
          <w:szCs w:val="24"/>
        </w:rPr>
        <w:fldChar w:fldCharType="end"/>
      </w:r>
      <w:r>
        <w:rPr>
          <w:rFonts w:ascii="Times New Roman"/>
          <w:kern w:val="2"/>
          <w:szCs w:val="24"/>
        </w:rPr>
        <w:t>中又称核碱基、含氮碱基，是形成</w:t>
      </w:r>
      <w:r>
        <w:fldChar w:fldCharType="begin"/>
      </w:r>
      <w:r>
        <w:instrText xml:space="preserve"> HYPERLINK "https://baike.baidu.com/item/%E6%A0%B8%E8%8B%B7/1484666?fromModule=lemma_inlink" \t "https://baike.baidu.com/item/_blank" </w:instrText>
      </w:r>
      <w:r>
        <w:fldChar w:fldCharType="separate"/>
      </w:r>
      <w:r>
        <w:rPr>
          <w:rFonts w:ascii="Times New Roman"/>
          <w:kern w:val="2"/>
          <w:szCs w:val="24"/>
        </w:rPr>
        <w:t>核苷</w:t>
      </w:r>
      <w:r>
        <w:rPr>
          <w:rFonts w:ascii="Times New Roman"/>
          <w:kern w:val="2"/>
          <w:szCs w:val="24"/>
        </w:rPr>
        <w:fldChar w:fldCharType="end"/>
      </w:r>
      <w:r>
        <w:rPr>
          <w:rFonts w:ascii="Times New Roman"/>
          <w:kern w:val="2"/>
          <w:szCs w:val="24"/>
        </w:rPr>
        <w:t>的</w:t>
      </w:r>
      <w:r>
        <w:fldChar w:fldCharType="begin"/>
      </w:r>
      <w:r>
        <w:instrText xml:space="preserve"> HYPERLINK "https://baike.baidu.com/item/%E5%90%AB%E6%B0%AE%E5%8C%96%E5%90%88%E7%89%A9/271632?fromModule=lemma_inlink" \t "https://baike.baidu.com/item/_blank" </w:instrText>
      </w:r>
      <w:r>
        <w:fldChar w:fldCharType="separate"/>
      </w:r>
      <w:r>
        <w:rPr>
          <w:rFonts w:ascii="Times New Roman"/>
          <w:kern w:val="2"/>
          <w:szCs w:val="24"/>
        </w:rPr>
        <w:t>含氮化合物</w:t>
      </w:r>
      <w:r>
        <w:rPr>
          <w:rFonts w:ascii="Times New Roman"/>
          <w:kern w:val="2"/>
          <w:szCs w:val="24"/>
        </w:rPr>
        <w:fldChar w:fldCharType="end"/>
      </w:r>
      <w:r>
        <w:rPr>
          <w:rFonts w:ascii="Times New Roman"/>
          <w:kern w:val="2"/>
          <w:szCs w:val="24"/>
        </w:rPr>
        <w:t>，核苷又是</w:t>
      </w:r>
      <w:r>
        <w:fldChar w:fldCharType="begin"/>
      </w:r>
      <w:r>
        <w:instrText xml:space="preserve"> HYPERLINK "https://baike.baidu.com/item/%E6%A0%B8%E8%8B%B7%E9%85%B8/2115624?fromModule=lemma_inlink" \t "https://baike.baidu.com/item/_blank" </w:instrText>
      </w:r>
      <w:r>
        <w:fldChar w:fldCharType="separate"/>
      </w:r>
      <w:r>
        <w:rPr>
          <w:rFonts w:ascii="Times New Roman"/>
          <w:kern w:val="2"/>
          <w:szCs w:val="24"/>
        </w:rPr>
        <w:t>核苷酸</w:t>
      </w:r>
      <w:r>
        <w:rPr>
          <w:rFonts w:ascii="Times New Roman"/>
          <w:kern w:val="2"/>
          <w:szCs w:val="24"/>
        </w:rPr>
        <w:fldChar w:fldCharType="end"/>
      </w:r>
      <w:r>
        <w:rPr>
          <w:rFonts w:ascii="Times New Roman"/>
          <w:kern w:val="2"/>
          <w:szCs w:val="24"/>
        </w:rPr>
        <w:t>的组分。碱基、核苷和核苷酸等单体构成了</w:t>
      </w:r>
      <w:r>
        <w:fldChar w:fldCharType="begin"/>
      </w:r>
      <w:r>
        <w:instrText xml:space="preserve"> HYPERLINK "https://baike.baidu.com/item/%E6%A0%B8%E9%85%B8/530683?fromModule=lemma_inlink" \t "https://baike.baidu.com/item/_blank" </w:instrText>
      </w:r>
      <w:r>
        <w:fldChar w:fldCharType="separate"/>
      </w:r>
      <w:r>
        <w:rPr>
          <w:rFonts w:ascii="Times New Roman"/>
          <w:kern w:val="2"/>
          <w:szCs w:val="24"/>
        </w:rPr>
        <w:t>核酸</w:t>
      </w:r>
      <w:r>
        <w:rPr>
          <w:rFonts w:ascii="Times New Roman"/>
          <w:kern w:val="2"/>
          <w:szCs w:val="24"/>
        </w:rPr>
        <w:fldChar w:fldCharType="end"/>
      </w:r>
      <w:r>
        <w:rPr>
          <w:rFonts w:ascii="Times New Roman"/>
          <w:kern w:val="2"/>
          <w:szCs w:val="24"/>
        </w:rPr>
        <w:t>的基本构件。</w:t>
      </w:r>
    </w:p>
    <w:p w14:paraId="178CF933">
      <w:pPr>
        <w:pStyle w:val="26"/>
        <w:keepNext w:val="0"/>
        <w:keepLines w:val="0"/>
        <w:pageBreakBefore w:val="0"/>
        <w:kinsoku/>
        <w:wordWrap/>
        <w:overflowPunct/>
        <w:topLinePunct w:val="0"/>
        <w:bidi w:val="0"/>
        <w:spacing w:before="157" w:beforeLines="50" w:after="157" w:afterLines="50"/>
        <w:ind w:firstLine="0" w:firstLineChars="0"/>
        <w:textAlignment w:val="auto"/>
        <w:rPr>
          <w:rFonts w:hint="eastAsia" w:ascii="黑体" w:hAnsi="黑体" w:eastAsia="黑体"/>
          <w:kern w:val="2"/>
          <w:szCs w:val="24"/>
        </w:rPr>
      </w:pPr>
      <w:r>
        <w:rPr>
          <w:rFonts w:hint="eastAsia" w:ascii="黑体" w:hAnsi="黑体" w:eastAsia="黑体"/>
          <w:kern w:val="2"/>
          <w:szCs w:val="24"/>
        </w:rPr>
        <w:t>3.9</w:t>
      </w:r>
    </w:p>
    <w:p w14:paraId="4C0E5115">
      <w:pPr>
        <w:keepNext w:val="0"/>
        <w:keepLines w:val="0"/>
        <w:pageBreakBefore w:val="0"/>
        <w:kinsoku/>
        <w:wordWrap/>
        <w:overflowPunct/>
        <w:topLinePunct w:val="0"/>
        <w:bidi w:val="0"/>
        <w:adjustRightInd w:val="0"/>
        <w:snapToGrid w:val="0"/>
        <w:spacing w:before="157" w:beforeLines="50" w:after="157" w:afterLines="50"/>
        <w:ind w:firstLine="420" w:firstLineChars="200"/>
        <w:textAlignment w:val="auto"/>
      </w:pPr>
      <w:r>
        <w:rPr>
          <w:rFonts w:hint="eastAsia" w:ascii="黑体" w:hAnsi="黑体" w:eastAsia="黑体" w:cs="黑体"/>
        </w:rPr>
        <w:t>信息化管理 information management</w:t>
      </w:r>
    </w:p>
    <w:p w14:paraId="508F4191">
      <w:pPr>
        <w:pStyle w:val="26"/>
        <w:rPr>
          <w:rFonts w:ascii="Times New Roman"/>
          <w:kern w:val="2"/>
          <w:szCs w:val="24"/>
        </w:rPr>
      </w:pPr>
      <w:r>
        <w:rPr>
          <w:rFonts w:hint="eastAsia" w:ascii="Times New Roman"/>
          <w:kern w:val="2"/>
          <w:szCs w:val="24"/>
        </w:rPr>
        <w:t>利用信息技术手段，对实验室资源进行数字化管理，并实现设备自动化控制、数据采集、处理和分析等功能的管理活动。</w:t>
      </w:r>
    </w:p>
    <w:p w14:paraId="1B08362B">
      <w:pPr>
        <w:keepNext w:val="0"/>
        <w:keepLines w:val="0"/>
        <w:pageBreakBefore w:val="0"/>
        <w:widowControl w:val="0"/>
        <w:kinsoku/>
        <w:wordWrap/>
        <w:overflowPunct/>
        <w:topLinePunct w:val="0"/>
        <w:autoSpaceDE/>
        <w:autoSpaceDN/>
        <w:bidi w:val="0"/>
        <w:adjustRightInd w:val="0"/>
        <w:snapToGrid w:val="0"/>
        <w:spacing w:before="157" w:beforeLines="50" w:after="157" w:afterLines="50"/>
        <w:ind w:left="0" w:hanging="420" w:hangingChars="200"/>
        <w:textAlignment w:val="auto"/>
        <w:rPr>
          <w:rFonts w:hint="eastAsia" w:ascii="黑体" w:hAnsi="黑体" w:eastAsia="黑体"/>
        </w:rPr>
      </w:pPr>
      <w:r>
        <w:rPr>
          <w:rFonts w:ascii="黑体" w:hAnsi="黑体" w:eastAsia="黑体"/>
        </w:rPr>
        <w:t>3.</w:t>
      </w:r>
      <w:r>
        <w:rPr>
          <w:rFonts w:hint="eastAsia" w:ascii="黑体" w:hAnsi="黑体" w:eastAsia="黑体"/>
        </w:rPr>
        <w:t xml:space="preserve">10 </w:t>
      </w:r>
    </w:p>
    <w:p w14:paraId="412E1F7A">
      <w:pPr>
        <w:keepNext w:val="0"/>
        <w:keepLines w:val="0"/>
        <w:pageBreakBefore w:val="0"/>
        <w:widowControl w:val="0"/>
        <w:kinsoku/>
        <w:wordWrap/>
        <w:overflowPunct/>
        <w:topLinePunct w:val="0"/>
        <w:autoSpaceDE/>
        <w:autoSpaceDN/>
        <w:bidi w:val="0"/>
        <w:adjustRightInd w:val="0"/>
        <w:snapToGrid w:val="0"/>
        <w:spacing w:before="157" w:beforeLines="50" w:after="157" w:afterLines="50"/>
        <w:ind w:left="0" w:leftChars="0" w:firstLine="420" w:firstLineChars="200"/>
        <w:textAlignment w:val="auto"/>
        <w:rPr>
          <w:rFonts w:hint="eastAsia" w:ascii="黑体" w:hAnsi="黑体" w:eastAsia="黑体"/>
        </w:rPr>
      </w:pPr>
      <w:r>
        <w:rPr>
          <w:rFonts w:hint="eastAsia" w:ascii="黑体" w:hAnsi="黑体" w:eastAsia="黑体"/>
        </w:rPr>
        <w:t>LIMS 实验室信息管理系统 laboratory information management system</w:t>
      </w:r>
    </w:p>
    <w:p w14:paraId="01D0D5D0">
      <w:pPr>
        <w:pStyle w:val="12"/>
        <w:ind w:firstLine="420" w:firstLineChars="200"/>
        <w:rPr>
          <w:color w:val="auto"/>
          <w:kern w:val="2"/>
        </w:rPr>
      </w:pPr>
      <w:r>
        <w:rPr>
          <w:color w:val="auto"/>
          <w:kern w:val="2"/>
        </w:rPr>
        <w:t>通过获取、分析、报告、存储等手段，对实验室活动数据进行管理的计算机系统。</w:t>
      </w:r>
    </w:p>
    <w:p w14:paraId="1B40640C">
      <w:pPr>
        <w:keepNext w:val="0"/>
        <w:keepLines w:val="0"/>
        <w:pageBreakBefore w:val="0"/>
        <w:kinsoku/>
        <w:wordWrap/>
        <w:overflowPunct/>
        <w:topLinePunct w:val="0"/>
        <w:autoSpaceDE/>
        <w:autoSpaceDN/>
        <w:bidi w:val="0"/>
        <w:adjustRightInd w:val="0"/>
        <w:snapToGrid w:val="0"/>
        <w:spacing w:before="157" w:beforeLines="50" w:after="157" w:afterLines="50"/>
        <w:textAlignment w:val="auto"/>
        <w:rPr>
          <w:rFonts w:hint="eastAsia" w:ascii="黑体" w:hAnsi="黑体" w:eastAsia="黑体" w:cs="黑体"/>
        </w:rPr>
      </w:pPr>
      <w:r>
        <w:rPr>
          <w:rFonts w:hint="eastAsia" w:ascii="黑体" w:hAnsi="黑体" w:eastAsia="黑体" w:cs="黑体"/>
        </w:rPr>
        <w:t xml:space="preserve">3.11 </w:t>
      </w:r>
    </w:p>
    <w:p w14:paraId="1172521A">
      <w:pPr>
        <w:pStyle w:val="33"/>
        <w:keepNext w:val="0"/>
        <w:keepLines w:val="0"/>
        <w:pageBreakBefore w:val="0"/>
        <w:kinsoku/>
        <w:wordWrap/>
        <w:overflowPunct/>
        <w:topLinePunct w:val="0"/>
        <w:autoSpaceDE/>
        <w:autoSpaceDN/>
        <w:bidi w:val="0"/>
        <w:adjustRightInd w:val="0"/>
        <w:spacing w:before="157" w:beforeLines="50" w:after="157" w:afterLines="50"/>
        <w:ind w:firstLine="420" w:firstLineChars="200"/>
        <w:textAlignment w:val="auto"/>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SOPs</w:t>
      </w:r>
    </w:p>
    <w:p w14:paraId="3067B4E3">
      <w:pPr>
        <w:pStyle w:val="33"/>
        <w:ind w:firstLine="420" w:firstLineChars="200"/>
        <w:rPr>
          <w:rFonts w:ascii="Times New Roman" w:hAnsi="Times New Roman"/>
          <w:lang w:val="en-US" w:bidi="ar-SA"/>
        </w:rPr>
      </w:pPr>
      <w:r>
        <w:rPr>
          <w:rFonts w:ascii="Times New Roman" w:hAnsi="Times New Roman"/>
          <w:lang w:val="en-US" w:bidi="ar-SA"/>
        </w:rPr>
        <w:t>标准作业程序（Standard Operating Procedure, SOPs）是在有限时间与资源内，为了执行复杂的日常事务所设计的</w:t>
      </w:r>
      <w:r>
        <w:fldChar w:fldCharType="begin"/>
      </w:r>
      <w:r>
        <w:instrText xml:space="preserve"> HYPERLINK "https://baike.baidu.com/item/%E5%86%85%E9%83%A8%E7%A8%8B%E5%BA%8F/8928488?fromModule=lemma_inlink" \t "https://baike.baidu.com/item/%E6%A0%87%E5%87%86%E4%BD%9C%E4%B8%9A%E7%A8%8B%E5%BA%8F/_blank" </w:instrText>
      </w:r>
      <w:r>
        <w:fldChar w:fldCharType="separate"/>
      </w:r>
      <w:r>
        <w:rPr>
          <w:rFonts w:ascii="Times New Roman" w:hAnsi="Times New Roman"/>
          <w:lang w:val="en-US" w:bidi="ar-SA"/>
        </w:rPr>
        <w:t>内部程序</w:t>
      </w:r>
      <w:r>
        <w:rPr>
          <w:rFonts w:ascii="Times New Roman" w:hAnsi="Times New Roman"/>
          <w:lang w:val="en-US" w:bidi="ar-SA"/>
        </w:rPr>
        <w:fldChar w:fldCharType="end"/>
      </w:r>
      <w:r>
        <w:rPr>
          <w:rFonts w:ascii="Times New Roman" w:hAnsi="Times New Roman"/>
          <w:lang w:val="en-US" w:bidi="ar-SA"/>
        </w:rPr>
        <w:t>。</w:t>
      </w:r>
    </w:p>
    <w:p w14:paraId="3168B160">
      <w:pPr>
        <w:pStyle w:val="51"/>
        <w:spacing w:before="312" w:after="312"/>
      </w:pPr>
      <w:r>
        <w:rPr>
          <w:rFonts w:hint="eastAsia"/>
        </w:rPr>
        <w:t>缩略语</w:t>
      </w:r>
    </w:p>
    <w:p w14:paraId="57923BDA">
      <w:pPr>
        <w:pStyle w:val="33"/>
        <w:spacing w:before="0" w:beforeLines="-2147483648" w:after="0" w:afterLines="-2147483648"/>
        <w:ind w:left="420" w:leftChars="200" w:firstLine="0" w:firstLineChars="0"/>
      </w:pPr>
      <w:r>
        <w:t>下列缩略语适用于本文件。</w:t>
      </w:r>
      <w:r>
        <w:br w:type="textWrapping"/>
      </w:r>
      <w:r>
        <w:rPr>
          <w:rFonts w:hint="eastAsia" w:ascii="宋体" w:hAnsi="宋体" w:eastAsia="宋体" w:cs="黑体"/>
          <w:color w:val="333333"/>
          <w:szCs w:val="21"/>
          <w:shd w:val="clear" w:color="auto" w:fill="FFFFFF"/>
          <w:lang w:val="en-US"/>
        </w:rPr>
        <w:t>IPS  入侵防护系统(Intrusion Prevention System)</w:t>
      </w:r>
    </w:p>
    <w:p w14:paraId="4C9CEB69">
      <w:pPr>
        <w:pStyle w:val="33"/>
        <w:spacing w:before="0" w:beforeLines="-2147483648" w:after="0" w:afterLines="-2147483648"/>
        <w:ind w:firstLine="420" w:firstLineChars="200"/>
        <w:rPr>
          <w:rFonts w:hint="eastAsia" w:ascii="宋体" w:hAnsi="宋体" w:eastAsia="宋体" w:cs="黑体"/>
          <w:color w:val="333333"/>
          <w:szCs w:val="21"/>
          <w:shd w:val="clear" w:color="auto" w:fill="FFFFFF"/>
          <w:lang w:val="en-US"/>
        </w:rPr>
      </w:pPr>
      <w:r>
        <w:rPr>
          <w:rFonts w:hint="eastAsia" w:ascii="宋体" w:hAnsi="宋体" w:eastAsia="宋体" w:cs="黑体"/>
          <w:color w:val="333333"/>
          <w:szCs w:val="21"/>
          <w:shd w:val="clear" w:color="auto" w:fill="FFFFFF"/>
          <w:lang w:val="en-US"/>
        </w:rPr>
        <w:t>LIMS  实验室信息管理系统(Laboratory Information Management System)</w:t>
      </w:r>
    </w:p>
    <w:p w14:paraId="241E6A98">
      <w:pPr>
        <w:pStyle w:val="33"/>
        <w:spacing w:before="0" w:beforeLines="-2147483648" w:after="0" w:afterLines="-2147483648"/>
        <w:ind w:firstLine="420" w:firstLineChars="200"/>
        <w:rPr>
          <w:rFonts w:hint="eastAsia" w:ascii="宋体" w:hAnsi="宋体" w:eastAsia="宋体" w:cs="黑体"/>
          <w:color w:val="333333"/>
          <w:szCs w:val="21"/>
          <w:shd w:val="clear" w:color="auto" w:fill="FFFFFF"/>
          <w:lang w:val="en-US"/>
        </w:rPr>
      </w:pPr>
      <w:r>
        <w:rPr>
          <w:rFonts w:hint="eastAsia" w:ascii="宋体" w:hAnsi="宋体" w:eastAsia="宋体" w:cs="黑体"/>
          <w:color w:val="333333"/>
          <w:szCs w:val="21"/>
          <w:shd w:val="clear" w:color="auto" w:fill="FFFFFF"/>
          <w:lang w:val="en-US"/>
        </w:rPr>
        <w:t>PCR  聚合酶链式反应(Polymerase Chain Reaction)</w:t>
      </w:r>
    </w:p>
    <w:p w14:paraId="29F9B593">
      <w:pPr>
        <w:pStyle w:val="33"/>
        <w:spacing w:before="0" w:beforeLines="-2147483648" w:after="0" w:afterLines="-2147483648"/>
        <w:ind w:firstLine="420" w:firstLineChars="200"/>
        <w:rPr>
          <w:rFonts w:hint="eastAsia" w:ascii="宋体" w:hAnsi="宋体" w:eastAsia="宋体" w:cs="黑体"/>
          <w:color w:val="333333"/>
          <w:szCs w:val="21"/>
          <w:shd w:val="clear" w:color="auto" w:fill="FFFFFF"/>
          <w:lang w:val="en-US"/>
        </w:rPr>
      </w:pPr>
      <w:r>
        <w:rPr>
          <w:rFonts w:hint="eastAsia" w:ascii="宋体" w:hAnsi="宋体" w:eastAsia="宋体" w:cs="黑体"/>
          <w:color w:val="333333"/>
          <w:szCs w:val="21"/>
          <w:shd w:val="clear" w:color="auto" w:fill="FFFFFF"/>
          <w:lang w:val="en-US"/>
        </w:rPr>
        <w:t>RFID  射频识别(Radio Frequency Identification)</w:t>
      </w:r>
    </w:p>
    <w:p w14:paraId="44CB1901">
      <w:pPr>
        <w:pStyle w:val="51"/>
        <w:spacing w:before="312" w:after="312"/>
      </w:pPr>
      <w:r>
        <w:rPr>
          <w:rFonts w:hint="eastAsia"/>
        </w:rPr>
        <w:t>实验室设计与建设</w:t>
      </w:r>
    </w:p>
    <w:p w14:paraId="35862F94">
      <w:pPr>
        <w:pStyle w:val="33"/>
        <w:spacing w:before="156" w:beforeLines="50" w:after="156" w:afterLines="50"/>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5.1温度与湿度</w:t>
      </w:r>
    </w:p>
    <w:p w14:paraId="16CC4755">
      <w:pPr>
        <w:pStyle w:val="33"/>
        <w:spacing w:before="0" w:beforeLines="-2147483648" w:after="0" w:afterLines="-2147483648"/>
        <w:rPr>
          <w:rFonts w:hint="eastAsia" w:ascii="宋体" w:hAnsi="宋体" w:cs="宋体"/>
          <w:color w:val="333333"/>
          <w:szCs w:val="21"/>
          <w:shd w:val="clear" w:color="auto" w:fill="FFFFFF"/>
          <w:lang w:val="en-US"/>
        </w:rPr>
      </w:pPr>
      <w:r>
        <w:rPr>
          <w:rFonts w:hint="eastAsia" w:ascii="黑体" w:hAnsi="黑体" w:eastAsia="黑体" w:cs="黑体"/>
          <w:color w:val="333333"/>
          <w:szCs w:val="21"/>
          <w:shd w:val="clear" w:color="auto" w:fill="FFFFFF"/>
          <w:lang w:val="en-US"/>
        </w:rPr>
        <w:t>5.1.1</w:t>
      </w:r>
      <w:r>
        <w:rPr>
          <w:rFonts w:hint="eastAsia" w:ascii="宋体" w:hAnsi="宋体" w:cs="宋体"/>
          <w:color w:val="333333"/>
          <w:szCs w:val="21"/>
          <w:shd w:val="clear" w:color="auto" w:fill="FFFFFF"/>
          <w:lang w:val="en-US"/>
        </w:rPr>
        <w:t>应保持恒定的温度（通常建议20-22°C），湿度应在40%-60%之间。</w:t>
      </w:r>
    </w:p>
    <w:p w14:paraId="470A6F7E">
      <w:pPr>
        <w:pStyle w:val="33"/>
        <w:spacing w:before="0" w:beforeLines="-2147483648" w:after="0" w:afterLines="-2147483648"/>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5.1.2</w:t>
      </w:r>
      <w:r>
        <w:rPr>
          <w:rFonts w:hint="eastAsia" w:ascii="宋体" w:hAnsi="宋体" w:cs="宋体"/>
          <w:color w:val="333333"/>
          <w:szCs w:val="21"/>
          <w:shd w:val="clear" w:color="auto" w:fill="FFFFFF"/>
          <w:lang w:val="en-US"/>
        </w:rPr>
        <w:t>样品接收与预处理区温度和湿度应适中。</w:t>
      </w:r>
    </w:p>
    <w:p w14:paraId="495BB31F">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5.2 洁净度</w:t>
      </w:r>
    </w:p>
    <w:p w14:paraId="37140AAC">
      <w:pPr>
        <w:pStyle w:val="33"/>
        <w:spacing w:before="0" w:beforeLines="-2147483648" w:after="0" w:afterLines="-2147483648"/>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5.2.1</w:t>
      </w:r>
      <w:r>
        <w:rPr>
          <w:rFonts w:hint="eastAsia" w:ascii="宋体" w:hAnsi="宋体" w:cs="宋体"/>
          <w:color w:val="333333"/>
          <w:szCs w:val="21"/>
          <w:shd w:val="clear" w:color="auto" w:fill="FFFFFF"/>
          <w:lang w:val="en-US"/>
        </w:rPr>
        <w:t>测序区域应设置为ISO 5至ISO 7级的洁净室。</w:t>
      </w:r>
    </w:p>
    <w:p w14:paraId="624C1527">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5.2.2</w:t>
      </w:r>
      <w:r>
        <w:rPr>
          <w:rFonts w:hint="eastAsia" w:ascii="宋体" w:hAnsi="宋体" w:cs="宋体"/>
          <w:color w:val="333333"/>
          <w:szCs w:val="21"/>
          <w:shd w:val="clear" w:color="auto" w:fill="FFFFFF"/>
          <w:lang w:val="en-US"/>
        </w:rPr>
        <w:t>应使用HEPA过滤器确保空气质量。</w:t>
      </w:r>
    </w:p>
    <w:p w14:paraId="42CFDBF6">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5.3 生物安全等级</w:t>
      </w:r>
    </w:p>
    <w:p w14:paraId="50BA5448">
      <w:pPr>
        <w:pStyle w:val="33"/>
        <w:spacing w:before="0" w:beforeLines="-2147483648" w:after="0" w:afterLines="-2147483648"/>
        <w:rPr>
          <w:rFonts w:hint="eastAsia" w:ascii="宋体" w:hAnsi="宋体" w:cs="宋体"/>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5.3.1 </w:t>
      </w:r>
      <w:r>
        <w:rPr>
          <w:rFonts w:hint="eastAsia" w:ascii="宋体" w:hAnsi="宋体" w:cs="宋体"/>
          <w:color w:val="333333"/>
          <w:szCs w:val="21"/>
          <w:shd w:val="clear" w:color="auto" w:fill="FFFFFF"/>
          <w:lang w:val="en-US"/>
        </w:rPr>
        <w:t xml:space="preserve"> 处理低至中等风险的微生物样本应达到BSL-2。</w:t>
      </w:r>
    </w:p>
    <w:p w14:paraId="40B22C49">
      <w:pPr>
        <w:pStyle w:val="33"/>
        <w:spacing w:before="0" w:beforeLines="-2147483648" w:after="0" w:afterLines="-2147483648"/>
        <w:rPr>
          <w:rFonts w:hint="eastAsia" w:ascii="宋体" w:hAnsi="宋体" w:cs="宋体"/>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5.3.2  </w:t>
      </w:r>
      <w:r>
        <w:rPr>
          <w:rFonts w:hint="eastAsia" w:ascii="宋体" w:hAnsi="宋体" w:cs="宋体"/>
          <w:color w:val="333333"/>
          <w:szCs w:val="21"/>
          <w:shd w:val="clear" w:color="auto" w:fill="FFFFFF"/>
          <w:lang w:val="en-US"/>
        </w:rPr>
        <w:t>处理潜在危险病原体需要更高生物安全级别的区域，应达到BSL-3。</w:t>
      </w:r>
    </w:p>
    <w:p w14:paraId="0C1FE32B">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5.4 布局规划</w:t>
      </w:r>
    </w:p>
    <w:p w14:paraId="2681AB85">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5.4.1 </w:t>
      </w:r>
      <w:r>
        <w:rPr>
          <w:rFonts w:hint="eastAsia" w:ascii="宋体" w:hAnsi="宋体" w:cs="宋体"/>
          <w:color w:val="333333"/>
          <w:szCs w:val="21"/>
          <w:shd w:val="clear" w:color="auto" w:fill="FFFFFF"/>
          <w:lang w:val="en-US"/>
        </w:rPr>
        <w:t>样品接收区：配备生物安全柜，用于样本的初步处理和分类。</w:t>
      </w:r>
    </w:p>
    <w:p w14:paraId="5DECE9F5">
      <w:pPr>
        <w:pStyle w:val="33"/>
        <w:spacing w:before="0" w:beforeLines="-2147483648" w:after="0" w:afterLines="-2147483648"/>
        <w:rPr>
          <w:rFonts w:hint="eastAsia" w:ascii="宋体" w:hAnsi="宋体" w:cs="宋体"/>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5.4.2 </w:t>
      </w:r>
      <w:r>
        <w:rPr>
          <w:rFonts w:hint="eastAsia" w:ascii="宋体" w:hAnsi="宋体" w:cs="宋体"/>
          <w:color w:val="333333"/>
          <w:szCs w:val="21"/>
          <w:shd w:val="clear" w:color="auto" w:fill="FFFFFF"/>
          <w:lang w:val="en-US"/>
        </w:rPr>
        <w:t>预处理区：包括核酸提取、PCR扩增等，应有良好的通风和清洁流程。</w:t>
      </w:r>
    </w:p>
    <w:p w14:paraId="2F916ED7">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5.4.3</w:t>
      </w:r>
      <w:r>
        <w:rPr>
          <w:rFonts w:hint="eastAsia" w:ascii="宋体" w:hAnsi="宋体" w:cs="宋体"/>
          <w:color w:val="333333"/>
          <w:szCs w:val="21"/>
          <w:shd w:val="clear" w:color="auto" w:fill="FFFFFF"/>
          <w:lang w:val="en-US"/>
        </w:rPr>
        <w:t xml:space="preserve"> 测序区：安置高精度的测序设备，应与预处理区物理隔离，减少污染风险。</w:t>
      </w:r>
    </w:p>
    <w:p w14:paraId="37915D6D">
      <w:pPr>
        <w:pStyle w:val="33"/>
        <w:spacing w:before="0" w:beforeLines="-2147483648" w:after="0" w:afterLines="-2147483648"/>
        <w:rPr>
          <w:rFonts w:hint="eastAsia" w:ascii="宋体" w:hAnsi="宋体" w:cs="宋体"/>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5.4.4 </w:t>
      </w:r>
      <w:r>
        <w:rPr>
          <w:rFonts w:hint="eastAsia" w:ascii="宋体" w:hAnsi="宋体" w:cs="宋体"/>
          <w:color w:val="333333"/>
          <w:szCs w:val="21"/>
          <w:shd w:val="clear" w:color="auto" w:fill="FFFFFF"/>
          <w:lang w:val="en-US"/>
        </w:rPr>
        <w:t>数据分析区：配备高性能计算工作站和服务器，用于数据处理和存储。</w:t>
      </w:r>
    </w:p>
    <w:p w14:paraId="79E88B13">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5.4.5 </w:t>
      </w:r>
      <w:r>
        <w:rPr>
          <w:rFonts w:hint="eastAsia" w:ascii="宋体" w:hAnsi="宋体" w:cs="宋体"/>
          <w:color w:val="333333"/>
          <w:szCs w:val="21"/>
          <w:shd w:val="clear" w:color="auto" w:fill="FFFFFF"/>
          <w:lang w:val="en-US"/>
        </w:rPr>
        <w:t>办公与会议区：供工作人员日常办公和讨论研究进展。</w:t>
      </w:r>
    </w:p>
    <w:p w14:paraId="4BB1D530">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5.5 安全与应急措施</w:t>
      </w:r>
    </w:p>
    <w:p w14:paraId="41DBFC6B">
      <w:pPr>
        <w:pStyle w:val="33"/>
        <w:spacing w:before="0" w:beforeLines="-2147483648" w:after="0" w:afterLines="-2147483648"/>
        <w:rPr>
          <w:rFonts w:hint="eastAsia" w:ascii="宋体" w:hAnsi="宋体" w:cs="宋体"/>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5.5.1 </w:t>
      </w:r>
      <w:r>
        <w:rPr>
          <w:rFonts w:hint="eastAsia" w:ascii="宋体" w:hAnsi="宋体" w:cs="宋体"/>
          <w:color w:val="333333"/>
          <w:szCs w:val="21"/>
          <w:shd w:val="clear" w:color="auto" w:fill="FFFFFF"/>
          <w:lang w:val="en-US"/>
        </w:rPr>
        <w:t>消防设施：应安装烟雾探测器、自动喷水灭火系统和紧急出口指示。</w:t>
      </w:r>
    </w:p>
    <w:p w14:paraId="246777C9">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5.5.2 </w:t>
      </w:r>
      <w:r>
        <w:rPr>
          <w:rFonts w:hint="eastAsia" w:ascii="宋体" w:hAnsi="宋体" w:cs="宋体"/>
          <w:color w:val="333333"/>
          <w:szCs w:val="21"/>
          <w:shd w:val="clear" w:color="auto" w:fill="FFFFFF"/>
          <w:lang w:val="en-US"/>
        </w:rPr>
        <w:t>生物安全防护：穿戴适当的个人防护装备，设立生物安全柜和生物安全实验室。</w:t>
      </w:r>
    </w:p>
    <w:p w14:paraId="5E468B5F">
      <w:pPr>
        <w:pStyle w:val="33"/>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5.5.3 </w:t>
      </w:r>
      <w:r>
        <w:rPr>
          <w:rFonts w:hint="eastAsia" w:ascii="宋体" w:hAnsi="宋体" w:cs="宋体"/>
          <w:color w:val="333333"/>
          <w:szCs w:val="21"/>
          <w:shd w:val="clear" w:color="auto" w:fill="FFFFFF"/>
          <w:lang w:val="en-US"/>
        </w:rPr>
        <w:t>废弃物处理：设立专用的医疗废弃物收集容器，按照法规进行分类和处置。</w:t>
      </w:r>
    </w:p>
    <w:p w14:paraId="7110AC3E">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5.6 智慧化设施</w:t>
      </w:r>
    </w:p>
    <w:p w14:paraId="76E5AA7B">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5.6.1 </w:t>
      </w:r>
      <w:r>
        <w:rPr>
          <w:rFonts w:hint="eastAsia" w:ascii="宋体" w:hAnsi="宋体" w:cs="宋体"/>
          <w:color w:val="333333"/>
          <w:szCs w:val="21"/>
          <w:shd w:val="clear" w:color="auto" w:fill="FFFFFF"/>
          <w:lang w:val="en-US"/>
        </w:rPr>
        <w:t>自动化样本处理：使用机器人手臂和自动化工作站进行样本制备和上样。</w:t>
      </w:r>
    </w:p>
    <w:p w14:paraId="4220E1CB">
      <w:pPr>
        <w:pStyle w:val="33"/>
        <w:spacing w:before="0" w:beforeLines="-2147483648" w:after="0" w:afterLines="-2147483648"/>
        <w:rPr>
          <w:rFonts w:hint="eastAsia" w:ascii="宋体" w:hAnsi="宋体" w:cs="宋体"/>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5.6.2 </w:t>
      </w:r>
      <w:r>
        <w:rPr>
          <w:rFonts w:hint="eastAsia" w:ascii="宋体" w:hAnsi="宋体" w:cs="宋体"/>
          <w:color w:val="333333"/>
          <w:szCs w:val="21"/>
          <w:shd w:val="clear" w:color="auto" w:fill="FFFFFF"/>
          <w:lang w:val="en-US"/>
        </w:rPr>
        <w:t>智能存储系统：采用RFID或条形码技术追踪样本位置，确保样本安全。</w:t>
      </w:r>
    </w:p>
    <w:p w14:paraId="40DD365B">
      <w:pPr>
        <w:pStyle w:val="33"/>
        <w:spacing w:before="0" w:beforeLines="-2147483648" w:after="0" w:afterLines="-2147483648"/>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5.6.3 </w:t>
      </w:r>
      <w:r>
        <w:rPr>
          <w:rFonts w:hint="eastAsia" w:ascii="宋体" w:hAnsi="宋体" w:cs="宋体"/>
          <w:color w:val="333333"/>
          <w:szCs w:val="21"/>
          <w:shd w:val="clear" w:color="auto" w:fill="FFFFFF"/>
          <w:lang w:val="en-US"/>
        </w:rPr>
        <w:t>远程监控系统：通过物联网(IoT)技术实时监控实验室环境参数和设备状态。</w:t>
      </w:r>
    </w:p>
    <w:p w14:paraId="1E9D9C90">
      <w:pPr>
        <w:pStyle w:val="33"/>
        <w:spacing w:before="0" w:beforeLines="-2147483648" w:after="0" w:afterLines="-2147483648"/>
        <w:rPr>
          <w:rFonts w:hint="eastAsia" w:ascii="宋体" w:hAnsi="宋体" w:cs="宋体"/>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5.6.4 </w:t>
      </w:r>
      <w:r>
        <w:rPr>
          <w:rFonts w:hint="eastAsia" w:ascii="宋体" w:hAnsi="宋体" w:cs="宋体"/>
          <w:color w:val="333333"/>
          <w:szCs w:val="21"/>
          <w:shd w:val="clear" w:color="auto" w:fill="FFFFFF"/>
          <w:lang w:val="en-US"/>
        </w:rPr>
        <w:t>智能分析软件：集成AI算法，提供数据预处理、质量控制和初步分析功能。</w:t>
      </w:r>
    </w:p>
    <w:p w14:paraId="5B3275D3">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5.7 LIMS 实验室管理系统</w:t>
      </w:r>
    </w:p>
    <w:p w14:paraId="252022D5">
      <w:pPr>
        <w:pStyle w:val="33"/>
        <w:spacing w:before="0" w:beforeLines="-2147483648" w:after="0" w:afterLines="-2147483648"/>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5.7.1</w:t>
      </w:r>
      <w:r>
        <w:rPr>
          <w:rFonts w:hint="eastAsia" w:asciiTheme="minorEastAsia" w:hAnsiTheme="minorEastAsia" w:eastAsiaTheme="minorEastAsia" w:cstheme="minorEastAsia"/>
          <w:color w:val="333333"/>
          <w:szCs w:val="21"/>
          <w:shd w:val="clear" w:color="auto" w:fill="FFFFFF"/>
          <w:lang w:val="en-US"/>
        </w:rPr>
        <w:t xml:space="preserve"> 应针对整体工作和环境而进行开发设计LIMS，用于收集、处理、记录、报告、存储或检索实验室活动数据和信息，LIMS 应具备提供数字化、自动化、智能化管理手段的能力。</w:t>
      </w:r>
    </w:p>
    <w:p w14:paraId="5E3B032E">
      <w:pPr>
        <w:pStyle w:val="33"/>
        <w:spacing w:before="0" w:beforeLines="-2147483648" w:after="0" w:afterLines="-2147483648"/>
        <w:rPr>
          <w:rFonts w:hint="eastAsia" w:ascii="宋体" w:hAnsi="宋体" w:cs="宋体"/>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5.7.2 </w:t>
      </w:r>
      <w:r>
        <w:rPr>
          <w:rFonts w:hint="eastAsia" w:ascii="宋体" w:hAnsi="宋体" w:cs="宋体"/>
          <w:color w:val="333333"/>
          <w:szCs w:val="21"/>
          <w:shd w:val="clear" w:color="auto" w:fill="FFFFFF"/>
          <w:lang w:val="en-US"/>
        </w:rPr>
        <w:t>应实现基因测序公共服务平台管理信息的共享和交流。</w:t>
      </w:r>
    </w:p>
    <w:p w14:paraId="1698D50F">
      <w:pPr>
        <w:pStyle w:val="33"/>
        <w:spacing w:before="0" w:beforeLines="-2147483648" w:after="0" w:afterLines="-2147483648"/>
        <w:rPr>
          <w:rFonts w:hint="eastAsia" w:ascii="宋体" w:hAnsi="宋体" w:cs="宋体"/>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5.7.3 </w:t>
      </w:r>
      <w:r>
        <w:rPr>
          <w:rFonts w:hint="eastAsia" w:ascii="宋体" w:hAnsi="宋体" w:cs="宋体"/>
          <w:color w:val="333333"/>
          <w:szCs w:val="21"/>
          <w:shd w:val="clear" w:color="auto" w:fill="FFFFFF"/>
          <w:lang w:val="en-US"/>
        </w:rPr>
        <w:t>基因测序公共服务平台应保证 LIMS 的便携和适用，其功能一般包括但不限于以下几点：</w:t>
      </w:r>
    </w:p>
    <w:p w14:paraId="3AB001BB">
      <w:pPr>
        <w:pStyle w:val="33"/>
        <w:spacing w:before="0" w:beforeLines="-2147483648" w:after="0" w:afterLines="-2147483648"/>
        <w:ind w:firstLine="420" w:firstLineChars="200"/>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w:t>
      </w:r>
      <w:r>
        <w:rPr>
          <w:rFonts w:hint="eastAsia" w:asciiTheme="minorEastAsia" w:hAnsiTheme="minorEastAsia" w:eastAsiaTheme="minorEastAsia" w:cstheme="minorEastAsia"/>
          <w:color w:val="333333"/>
          <w:szCs w:val="21"/>
          <w:shd w:val="clear" w:color="auto" w:fill="FFFFFF"/>
          <w:lang w:val="en-US"/>
        </w:rPr>
        <w:t>应确保 LIMS 实现从客户需求到出县数据、报告等技术过程和结果的电子化管理功能；</w:t>
      </w:r>
    </w:p>
    <w:p w14:paraId="21196A3D">
      <w:pPr>
        <w:pStyle w:val="33"/>
        <w:spacing w:before="0" w:beforeLines="-2147483648" w:after="0" w:afterLines="-2147483648"/>
        <w:ind w:firstLine="420" w:firstLineChars="200"/>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w:t>
      </w:r>
      <w:r>
        <w:rPr>
          <w:rFonts w:hint="eastAsia" w:asciiTheme="minorEastAsia" w:hAnsiTheme="minorEastAsia" w:eastAsiaTheme="minorEastAsia" w:cstheme="minorEastAsia"/>
          <w:color w:val="333333"/>
          <w:szCs w:val="21"/>
          <w:shd w:val="clear" w:color="auto" w:fill="FFFFFF"/>
          <w:lang w:val="en-US"/>
        </w:rPr>
        <w:t>应确保 LIMS 实现质量监控和评价过程及其结果的电子化管理功能；</w:t>
      </w:r>
    </w:p>
    <w:p w14:paraId="7A0C58B6">
      <w:pPr>
        <w:pStyle w:val="33"/>
        <w:spacing w:before="0" w:beforeLines="-2147483648" w:after="0" w:afterLines="-2147483648"/>
        <w:ind w:firstLine="420" w:firstLineChars="200"/>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w:t>
      </w:r>
      <w:r>
        <w:rPr>
          <w:rFonts w:hint="eastAsia" w:asciiTheme="minorEastAsia" w:hAnsiTheme="minorEastAsia" w:eastAsiaTheme="minorEastAsia" w:cstheme="minorEastAsia"/>
          <w:color w:val="333333"/>
          <w:szCs w:val="21"/>
          <w:shd w:val="clear" w:color="auto" w:fill="FFFFFF"/>
          <w:lang w:val="en-US"/>
        </w:rPr>
        <w:t>应确保 LIMS 实现资源和行政活动过程及其结果的电子化管理功能；</w:t>
      </w:r>
    </w:p>
    <w:p w14:paraId="34F411D3">
      <w:pPr>
        <w:pStyle w:val="33"/>
        <w:spacing w:before="0" w:beforeLines="-2147483648" w:after="0" w:afterLines="-2147483648"/>
        <w:ind w:firstLine="420" w:firstLineChars="200"/>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w:t>
      </w:r>
      <w:r>
        <w:rPr>
          <w:rFonts w:hint="eastAsia" w:asciiTheme="minorEastAsia" w:hAnsiTheme="minorEastAsia" w:eastAsiaTheme="minorEastAsia" w:cstheme="minorEastAsia"/>
          <w:color w:val="333333"/>
          <w:szCs w:val="21"/>
          <w:shd w:val="clear" w:color="auto" w:fill="FFFFFF"/>
          <w:lang w:val="en-US"/>
        </w:rPr>
        <w:t>应确保 LIMS 运行中所有过程数据和结果的查询分析、统计、报告功能。</w:t>
      </w:r>
    </w:p>
    <w:p w14:paraId="7427DC61">
      <w:pPr>
        <w:pStyle w:val="51"/>
        <w:spacing w:before="312" w:after="312"/>
      </w:pPr>
      <w:r>
        <w:rPr>
          <w:rFonts w:hint="eastAsia"/>
        </w:rPr>
        <w:t>设备仪器管理</w:t>
      </w:r>
    </w:p>
    <w:p w14:paraId="6E0A267B">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6.1 设备管理</w:t>
      </w:r>
    </w:p>
    <w:p w14:paraId="6E6465B6">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6.1.1</w:t>
      </w:r>
      <w:r>
        <w:rPr>
          <w:rFonts w:hint="eastAsia" w:asciiTheme="minorEastAsia" w:hAnsiTheme="minorEastAsia" w:eastAsiaTheme="minorEastAsia" w:cstheme="minorEastAsia"/>
          <w:color w:val="333333"/>
          <w:szCs w:val="21"/>
          <w:shd w:val="clear" w:color="auto" w:fill="FFFFFF"/>
          <w:lang w:val="en-US"/>
        </w:rPr>
        <w:t xml:space="preserve"> 应建立完善的智能设备管理系统，实现数字化档案管理。基因测序公共服务平台信息化管理的硬件设备主要包括计算机、服务器、传感器、通信设备、网络设备等，软件设备主要包括操作系统、数据库、应用程序、安全管理软件等内容。</w:t>
      </w:r>
    </w:p>
    <w:p w14:paraId="2431BB1C">
      <w:pPr>
        <w:pStyle w:val="33"/>
        <w:spacing w:before="0" w:beforeLines="-2147483648" w:after="0" w:afterLines="-2147483648"/>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6.1.2</w:t>
      </w:r>
      <w:r>
        <w:rPr>
          <w:rFonts w:hint="eastAsia" w:asciiTheme="minorEastAsia" w:hAnsiTheme="minorEastAsia" w:eastAsiaTheme="minorEastAsia" w:cstheme="minorEastAsia"/>
          <w:color w:val="333333"/>
          <w:szCs w:val="21"/>
          <w:shd w:val="clear" w:color="auto" w:fill="FFFFFF"/>
          <w:lang w:val="en-US"/>
        </w:rPr>
        <w:t xml:space="preserve"> 应制定设备管理计划、维护机制，包括定期维护、检修、升级、自动备份配置信息等，确保设备的正常运行和延长设备寿命。</w:t>
      </w:r>
    </w:p>
    <w:p w14:paraId="5D1EEAE1">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6.1.3</w:t>
      </w:r>
      <w:r>
        <w:rPr>
          <w:rFonts w:hint="eastAsia" w:asciiTheme="minorEastAsia" w:hAnsiTheme="minorEastAsia" w:eastAsiaTheme="minorEastAsia" w:cstheme="minorEastAsia"/>
          <w:color w:val="333333"/>
          <w:szCs w:val="21"/>
          <w:shd w:val="clear" w:color="auto" w:fill="FFFFFF"/>
          <w:lang w:val="en-US"/>
        </w:rPr>
        <w:t xml:space="preserve"> 应具有联网状态下的设备状态信息监测与管理功能。</w:t>
      </w:r>
    </w:p>
    <w:p w14:paraId="4C3ADCE5">
      <w:pPr>
        <w:pStyle w:val="33"/>
        <w:spacing w:before="0" w:beforeLines="-2147483648" w:after="0" w:afterLines="-2147483648"/>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6.1.4</w:t>
      </w:r>
      <w:r>
        <w:rPr>
          <w:rFonts w:hint="eastAsia" w:asciiTheme="minorEastAsia" w:hAnsiTheme="minorEastAsia" w:eastAsiaTheme="minorEastAsia" w:cstheme="minorEastAsia"/>
          <w:color w:val="333333"/>
          <w:szCs w:val="21"/>
          <w:shd w:val="clear" w:color="auto" w:fill="FFFFFF"/>
          <w:lang w:val="en-US"/>
        </w:rPr>
        <w:t xml:space="preserve"> 设备处置和报废。应及时处理已经失效或不能继续使用的设备，根据设备的品牌、型号、规格、年限、使用情况等因素进行评估，并制定相应的处置方案。在处理设备时，应符合相关法规和环保要求，确保对环境的影响达到最小化。</w:t>
      </w:r>
    </w:p>
    <w:p w14:paraId="79315BFF">
      <w:pPr>
        <w:pStyle w:val="33"/>
        <w:spacing w:before="0" w:beforeLines="-2147483648" w:after="0" w:afterLines="-2147483648"/>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6.1.5</w:t>
      </w:r>
      <w:r>
        <w:rPr>
          <w:rFonts w:hint="eastAsia" w:ascii="Helvetica" w:hAnsi="Helvetica" w:eastAsia="Helvetica" w:cs="Helvetica"/>
          <w:color w:val="333333"/>
          <w:szCs w:val="21"/>
          <w:shd w:val="clear" w:color="auto" w:fill="FFFFFF"/>
          <w:lang w:val="en-US"/>
        </w:rPr>
        <w:t xml:space="preserve"> </w:t>
      </w:r>
      <w:r>
        <w:rPr>
          <w:rFonts w:hint="eastAsia" w:asciiTheme="minorEastAsia" w:hAnsiTheme="minorEastAsia" w:eastAsiaTheme="minorEastAsia" w:cstheme="minorEastAsia"/>
          <w:color w:val="333333"/>
          <w:szCs w:val="21"/>
          <w:shd w:val="clear" w:color="auto" w:fill="FFFFFF"/>
          <w:lang w:val="en-US"/>
        </w:rPr>
        <w:t>设备台账列表展示实验室设备台账，详情页面除设备信息外，可记录设备的使用记录、运行状态、灭菌状态。</w:t>
      </w:r>
    </w:p>
    <w:p w14:paraId="4EEF41F3">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6.2 定期维护计划</w:t>
      </w:r>
    </w:p>
    <w:p w14:paraId="64F43C3A">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6.2.1 </w:t>
      </w:r>
      <w:r>
        <w:rPr>
          <w:rFonts w:hint="eastAsia" w:asciiTheme="minorEastAsia" w:hAnsiTheme="minorEastAsia" w:eastAsiaTheme="minorEastAsia" w:cstheme="minorEastAsia"/>
          <w:color w:val="333333"/>
          <w:szCs w:val="21"/>
          <w:shd w:val="clear" w:color="auto" w:fill="FFFFFF"/>
          <w:lang w:val="en-US"/>
        </w:rPr>
        <w:t>设立年度、季度和月度维护计划，包括清洁、润滑和部件更换。</w:t>
      </w:r>
    </w:p>
    <w:p w14:paraId="0DF197A7">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6.2.2 </w:t>
      </w:r>
      <w:r>
        <w:rPr>
          <w:rFonts w:hint="eastAsia" w:ascii="宋体" w:hAnsi="宋体" w:eastAsia="宋体" w:cs="黑体"/>
          <w:color w:val="333333"/>
          <w:szCs w:val="21"/>
          <w:shd w:val="clear" w:color="auto" w:fill="FFFFFF"/>
          <w:lang w:val="en-US"/>
        </w:rPr>
        <w:t>应</w:t>
      </w:r>
      <w:r>
        <w:rPr>
          <w:rFonts w:hint="eastAsia" w:asciiTheme="minorEastAsia" w:hAnsiTheme="minorEastAsia" w:eastAsiaTheme="minorEastAsia" w:cstheme="minorEastAsia"/>
          <w:color w:val="333333"/>
          <w:szCs w:val="21"/>
          <w:shd w:val="clear" w:color="auto" w:fill="FFFFFF"/>
          <w:lang w:val="en-US"/>
        </w:rPr>
        <w:t>对基因测序仪进行定期的硬件检查。</w:t>
      </w:r>
    </w:p>
    <w:p w14:paraId="2D0AFF2E">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6.2.3 </w:t>
      </w:r>
      <w:r>
        <w:rPr>
          <w:rFonts w:hint="eastAsia" w:ascii="宋体" w:hAnsi="宋体" w:eastAsia="宋体" w:cs="黑体"/>
          <w:color w:val="333333"/>
          <w:szCs w:val="21"/>
          <w:shd w:val="clear" w:color="auto" w:fill="FFFFFF"/>
          <w:lang w:val="en-US"/>
        </w:rPr>
        <w:t>应定期</w:t>
      </w:r>
      <w:r>
        <w:rPr>
          <w:rFonts w:hint="eastAsia" w:asciiTheme="minorEastAsia" w:hAnsiTheme="minorEastAsia" w:eastAsiaTheme="minorEastAsia" w:cstheme="minorEastAsia"/>
          <w:color w:val="333333"/>
          <w:szCs w:val="21"/>
          <w:shd w:val="clear" w:color="auto" w:fill="FFFFFF"/>
          <w:lang w:val="en-US"/>
        </w:rPr>
        <w:t>更新软件和固件。</w:t>
      </w:r>
    </w:p>
    <w:p w14:paraId="5C684FD9">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6.3 校准流程</w:t>
      </w:r>
    </w:p>
    <w:p w14:paraId="5729A9E3">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6.3.1 </w:t>
      </w:r>
      <w:r>
        <w:rPr>
          <w:rFonts w:hint="eastAsia" w:asciiTheme="minorEastAsia" w:hAnsiTheme="minorEastAsia" w:eastAsiaTheme="minorEastAsia" w:cstheme="minorEastAsia"/>
          <w:color w:val="333333"/>
          <w:szCs w:val="21"/>
          <w:shd w:val="clear" w:color="auto" w:fill="FFFFFF"/>
          <w:lang w:val="en-US"/>
        </w:rPr>
        <w:t>使用标准品或对照样本进行定期校准，确保测序质量和准确性。</w:t>
      </w:r>
    </w:p>
    <w:p w14:paraId="3631A278">
      <w:pPr>
        <w:pStyle w:val="33"/>
        <w:spacing w:before="0" w:beforeLines="-2147483648" w:after="0" w:afterLines="-2147483648"/>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6.3.2 </w:t>
      </w:r>
      <w:r>
        <w:rPr>
          <w:rFonts w:hint="eastAsia" w:asciiTheme="minorEastAsia" w:hAnsiTheme="minorEastAsia" w:eastAsiaTheme="minorEastAsia" w:cstheme="minorEastAsia"/>
          <w:color w:val="333333"/>
          <w:szCs w:val="21"/>
          <w:shd w:val="clear" w:color="auto" w:fill="FFFFFF"/>
          <w:lang w:val="en-US"/>
        </w:rPr>
        <w:t>监控测序仪的性能指标，如测序深度、错误率和读长一致性。</w:t>
      </w:r>
    </w:p>
    <w:p w14:paraId="6DD55E2D">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6.3.3 </w:t>
      </w:r>
      <w:r>
        <w:rPr>
          <w:rFonts w:hint="eastAsia" w:asciiTheme="minorEastAsia" w:hAnsiTheme="minorEastAsia" w:eastAsiaTheme="minorEastAsia" w:cstheme="minorEastAsia"/>
          <w:color w:val="333333"/>
          <w:szCs w:val="21"/>
          <w:shd w:val="clear" w:color="auto" w:fill="FFFFFF"/>
          <w:lang w:val="en-US"/>
        </w:rPr>
        <w:t>建立校准记录，跟踪每次校准的结果和采取的纠正措施。</w:t>
      </w:r>
    </w:p>
    <w:p w14:paraId="6760F0BC">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6.4 预防性维护</w:t>
      </w:r>
    </w:p>
    <w:p w14:paraId="1E7528C4">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6.4.1 </w:t>
      </w:r>
      <w:r>
        <w:rPr>
          <w:rFonts w:hint="eastAsia" w:asciiTheme="minorEastAsia" w:hAnsiTheme="minorEastAsia" w:eastAsiaTheme="minorEastAsia" w:cstheme="minorEastAsia"/>
          <w:color w:val="333333"/>
          <w:szCs w:val="21"/>
          <w:shd w:val="clear" w:color="auto" w:fill="FFFFFF"/>
          <w:lang w:val="en-US"/>
        </w:rPr>
        <w:t>基于设备使用频率和历史故障数据预测潜在问题，提前采取措施。</w:t>
      </w:r>
    </w:p>
    <w:p w14:paraId="5B499923">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6.4.2 </w:t>
      </w:r>
      <w:r>
        <w:rPr>
          <w:rFonts w:hint="eastAsia" w:ascii="宋体" w:hAnsi="宋体" w:eastAsia="宋体" w:cs="宋体"/>
          <w:color w:val="333333"/>
          <w:szCs w:val="21"/>
          <w:shd w:val="clear" w:color="auto" w:fill="FFFFFF"/>
          <w:lang w:val="en-US"/>
        </w:rPr>
        <w:t>应定期培训技术人员。</w:t>
      </w:r>
    </w:p>
    <w:p w14:paraId="126982B8">
      <w:pPr>
        <w:pStyle w:val="51"/>
        <w:spacing w:before="312" w:after="312"/>
      </w:pPr>
      <w:r>
        <w:rPr>
          <w:rFonts w:hint="eastAsia"/>
        </w:rPr>
        <w:t>数据管理与信息安全</w:t>
      </w:r>
    </w:p>
    <w:p w14:paraId="147FB1F9">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7.1 数据采集与处理</w:t>
      </w:r>
    </w:p>
    <w:p w14:paraId="74DEA972">
      <w:pPr>
        <w:pStyle w:val="33"/>
        <w:spacing w:before="156" w:beforeLines="50" w:after="156" w:afterLines="50"/>
        <w:rPr>
          <w:rFonts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7.1.1 数据格式</w:t>
      </w:r>
    </w:p>
    <w:p w14:paraId="6F13BCD0">
      <w:pPr>
        <w:pStyle w:val="33"/>
        <w:spacing w:before="0" w:beforeLines="-2147483648" w:after="0" w:afterLines="-2147483648"/>
        <w:ind w:firstLine="420" w:firstLineChars="200"/>
        <w:rPr>
          <w:rFonts w:ascii="Helvetica" w:hAnsi="Helvetica" w:eastAsia="Helvetica" w:cs="Helvetica"/>
          <w:color w:val="333333"/>
          <w:szCs w:val="21"/>
          <w:shd w:val="clear" w:color="auto" w:fill="FFFFFF"/>
          <w:lang w:val="en-US"/>
        </w:rPr>
      </w:pPr>
      <w:r>
        <w:rPr>
          <w:rFonts w:hint="eastAsia" w:asciiTheme="minorEastAsia" w:hAnsiTheme="minorEastAsia" w:eastAsiaTheme="minorEastAsia" w:cstheme="minorEastAsia"/>
          <w:color w:val="333333"/>
          <w:szCs w:val="21"/>
          <w:shd w:val="clear" w:color="auto" w:fill="FFFFFF"/>
          <w:lang w:val="en-US"/>
        </w:rPr>
        <w:t>基因测序数据通常以FASTQ或FASTA格式存储，其中包含序列信息和质量评分（FASTQ）。这些格式便于进一步分析和数据交换。</w:t>
      </w:r>
    </w:p>
    <w:p w14:paraId="1E7A6548">
      <w:pPr>
        <w:pStyle w:val="33"/>
        <w:spacing w:before="156" w:beforeLines="50" w:after="156" w:afterLines="50"/>
        <w:rPr>
          <w:rFonts w:ascii="黑体" w:hAnsi="黑体" w:eastAsia="黑体"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7.1.2 </w:t>
      </w:r>
      <w:r>
        <w:rPr>
          <w:rFonts w:hint="eastAsia" w:ascii="黑体" w:hAnsi="黑体" w:eastAsia="黑体" w:cs="Helvetica"/>
          <w:color w:val="333333"/>
          <w:szCs w:val="21"/>
          <w:shd w:val="clear" w:color="auto" w:fill="FFFFFF"/>
          <w:lang w:val="en-US"/>
        </w:rPr>
        <w:t>质量控制</w:t>
      </w:r>
    </w:p>
    <w:p w14:paraId="3BE7AD04">
      <w:pPr>
        <w:pStyle w:val="33"/>
        <w:spacing w:before="0" w:beforeLines="-2147483648" w:after="0" w:afterLines="-2147483648"/>
        <w:ind w:firstLine="420" w:firstLineChars="200"/>
        <w:rPr>
          <w:rFonts w:ascii="Helvetica" w:hAnsi="Helvetica" w:eastAsia="Helvetica" w:cs="Helvetica"/>
          <w:color w:val="333333"/>
          <w:szCs w:val="21"/>
          <w:shd w:val="clear" w:color="auto" w:fill="FFFFFF"/>
          <w:lang w:val="en-US"/>
        </w:rPr>
      </w:pPr>
      <w:r>
        <w:rPr>
          <w:rFonts w:hint="eastAsia" w:asciiTheme="minorEastAsia" w:hAnsiTheme="minorEastAsia" w:eastAsiaTheme="minorEastAsia" w:cstheme="minorEastAsia"/>
          <w:color w:val="333333"/>
          <w:szCs w:val="21"/>
          <w:shd w:val="clear" w:color="auto" w:fill="FFFFFF"/>
          <w:lang w:val="en-US"/>
        </w:rPr>
        <w:t>使用专门的软件工具（如FastQC、Trimmomatic）对原始测序数据进行质量评估，剔除低质量的reads或碱基，以提高后续分析的准确性</w:t>
      </w:r>
      <w:r>
        <w:rPr>
          <w:rFonts w:hint="eastAsia" w:ascii="宋体" w:hAnsi="宋体" w:cs="宋体"/>
          <w:color w:val="333333"/>
          <w:szCs w:val="21"/>
          <w:shd w:val="clear" w:color="auto" w:fill="FFFFFF"/>
          <w:lang w:val="en-US"/>
        </w:rPr>
        <w:t>。</w:t>
      </w:r>
    </w:p>
    <w:p w14:paraId="694DEFC0">
      <w:pPr>
        <w:pStyle w:val="33"/>
        <w:spacing w:before="156" w:beforeLines="50" w:after="156" w:afterLines="50"/>
        <w:rPr>
          <w:rFonts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7.1.3 初步分析流程</w:t>
      </w:r>
    </w:p>
    <w:p w14:paraId="07B9E03E">
      <w:pPr>
        <w:pStyle w:val="33"/>
        <w:spacing w:before="0" w:beforeLines="-2147483648" w:after="0" w:afterLines="-2147483648"/>
        <w:ind w:firstLine="420" w:firstLineChars="200"/>
        <w:rPr>
          <w:rFonts w:hint="eastAsia" w:asciiTheme="minorEastAsia" w:hAnsiTheme="minorEastAsia" w:eastAsiaTheme="minorEastAsia" w:cstheme="minorEastAsia"/>
          <w:color w:val="333333"/>
          <w:szCs w:val="21"/>
          <w:shd w:val="clear" w:color="auto" w:fill="FFFFFF"/>
          <w:lang w:val="en-US"/>
        </w:rPr>
      </w:pPr>
      <w:r>
        <w:rPr>
          <w:rFonts w:hint="eastAsia" w:asciiTheme="minorEastAsia" w:hAnsiTheme="minorEastAsia" w:eastAsiaTheme="minorEastAsia" w:cstheme="minorEastAsia"/>
          <w:color w:val="333333"/>
          <w:szCs w:val="21"/>
          <w:shd w:val="clear" w:color="auto" w:fill="FFFFFF"/>
          <w:lang w:val="en-US"/>
        </w:rPr>
        <w:t>包括对reads的比对（如使用BWA、Bowtie）、变异检测（如使用GATK、SAMtools）、基因表达量化等，初步分析后可生成可用于下游分析的中间文件。</w:t>
      </w:r>
    </w:p>
    <w:p w14:paraId="3812CB2E">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7.2 数据存储与备份</w:t>
      </w:r>
    </w:p>
    <w:p w14:paraId="130CAB49">
      <w:pPr>
        <w:pStyle w:val="33"/>
        <w:spacing w:before="156" w:beforeLines="50" w:after="156" w:afterLines="50"/>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7.2.1</w:t>
      </w:r>
      <w:r>
        <w:rPr>
          <w:rFonts w:hint="eastAsia" w:asciiTheme="minorEastAsia" w:hAnsiTheme="minorEastAsia" w:eastAsiaTheme="minorEastAsia" w:cstheme="minorEastAsia"/>
          <w:color w:val="333333"/>
          <w:szCs w:val="21"/>
          <w:shd w:val="clear" w:color="auto" w:fill="FFFFFF"/>
          <w:lang w:val="en-US"/>
        </w:rPr>
        <w:t>利用云服务提供商（如AWS、Azure、阿里云）提供的弹性存储解决方案，如S3、Blob Storage，以实现数据的快速访问和灵活扩容。</w:t>
      </w:r>
    </w:p>
    <w:p w14:paraId="7D76A5F2">
      <w:pPr>
        <w:pStyle w:val="33"/>
        <w:spacing w:before="156" w:beforeLines="50" w:after="156" w:afterLines="50"/>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7.2.2</w:t>
      </w:r>
      <w:r>
        <w:rPr>
          <w:rFonts w:hint="eastAsia" w:asciiTheme="minorEastAsia" w:hAnsiTheme="minorEastAsia" w:eastAsiaTheme="minorEastAsia" w:cstheme="minorEastAsia"/>
          <w:color w:val="333333"/>
          <w:szCs w:val="21"/>
          <w:shd w:val="clear" w:color="auto" w:fill="FFFFFF"/>
          <w:lang w:val="en-US"/>
        </w:rPr>
        <w:t>在高性能存储系统（如SAN或NAS）中存储频繁访问的数据，而较不常用的数据则可存放在成本较低的磁带库中。</w:t>
      </w:r>
    </w:p>
    <w:p w14:paraId="2F1B16C2">
      <w:pPr>
        <w:pStyle w:val="33"/>
        <w:spacing w:before="156" w:beforeLines="50" w:after="156" w:afterLines="50"/>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7.2.3</w:t>
      </w:r>
      <w:r>
        <w:rPr>
          <w:rFonts w:hint="eastAsia" w:asciiTheme="minorEastAsia" w:hAnsiTheme="minorEastAsia" w:eastAsiaTheme="minorEastAsia" w:cstheme="minorEastAsia"/>
          <w:color w:val="333333"/>
          <w:szCs w:val="21"/>
          <w:shd w:val="clear" w:color="auto" w:fill="FFFFFF"/>
          <w:lang w:val="en-US"/>
        </w:rPr>
        <w:t>使用SSL/TLS协议保护数据传输安全，对敏感数据采用AES或RSA等加密算法进行存储加密。</w:t>
      </w:r>
    </w:p>
    <w:p w14:paraId="292267CB">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7.3 数据安全与隐私保护</w:t>
      </w:r>
    </w:p>
    <w:p w14:paraId="5B725C75">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7.3.1</w:t>
      </w:r>
      <w:r>
        <w:rPr>
          <w:rFonts w:hint="eastAsia" w:asciiTheme="minorEastAsia" w:hAnsiTheme="minorEastAsia" w:eastAsiaTheme="minorEastAsia" w:cstheme="minorEastAsia"/>
          <w:color w:val="333333"/>
          <w:szCs w:val="21"/>
          <w:shd w:val="clear" w:color="auto" w:fill="FFFFFF"/>
          <w:lang w:val="en-US"/>
        </w:rPr>
        <w:t>实行严格的访问控制策略，仅授权特定用户访问特定数据集，使用RBAC（基于角色的访问控制）系统确保权限分配合理。</w:t>
      </w:r>
    </w:p>
    <w:p w14:paraId="2356D2D1">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7.3.2</w:t>
      </w:r>
      <w:r>
        <w:rPr>
          <w:rFonts w:hint="eastAsia" w:asciiTheme="minorEastAsia" w:hAnsiTheme="minorEastAsia" w:eastAsiaTheme="minorEastAsia" w:cstheme="minorEastAsia"/>
          <w:color w:val="333333"/>
          <w:szCs w:val="21"/>
          <w:shd w:val="clear" w:color="auto" w:fill="FFFFFF"/>
          <w:lang w:val="en-US"/>
        </w:rPr>
        <w:t>在数据分享前，去除或替换个人标识信息，如姓名、身份证号，以保护个人隐私。</w:t>
      </w:r>
    </w:p>
    <w:p w14:paraId="66598BA7">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7.3.3</w:t>
      </w:r>
      <w:r>
        <w:rPr>
          <w:rFonts w:hint="eastAsia" w:asciiTheme="minorEastAsia" w:hAnsiTheme="minorEastAsia" w:eastAsiaTheme="minorEastAsia" w:cstheme="minorEastAsia"/>
          <w:color w:val="333333"/>
          <w:szCs w:val="21"/>
          <w:shd w:val="clear" w:color="auto" w:fill="FFFFFF"/>
          <w:lang w:val="en-US"/>
        </w:rPr>
        <w:t>应定期进行数据处理和存储流程的合规性审计。</w:t>
      </w:r>
    </w:p>
    <w:p w14:paraId="11DA253C">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7.4 追踪与审计</w:t>
      </w:r>
    </w:p>
    <w:p w14:paraId="7A96A3DE">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7.4.1</w:t>
      </w:r>
      <w:r>
        <w:rPr>
          <w:rFonts w:hint="eastAsia" w:asciiTheme="minorEastAsia" w:hAnsiTheme="minorEastAsia" w:eastAsiaTheme="minorEastAsia" w:cstheme="minorEastAsia"/>
          <w:color w:val="333333"/>
          <w:szCs w:val="21"/>
          <w:shd w:val="clear" w:color="auto" w:fill="FFFFFF"/>
          <w:lang w:val="en-US"/>
        </w:rPr>
        <w:t>应建立数据生命周期管理政策，包括数据保留期限、数据销毁流程等。</w:t>
      </w:r>
    </w:p>
    <w:p w14:paraId="446EE41C">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7.4.2</w:t>
      </w:r>
      <w:r>
        <w:rPr>
          <w:rFonts w:hint="eastAsia" w:asciiTheme="minorEastAsia" w:hAnsiTheme="minorEastAsia" w:eastAsiaTheme="minorEastAsia" w:cstheme="minorEastAsia"/>
          <w:color w:val="333333"/>
          <w:szCs w:val="21"/>
          <w:shd w:val="clear" w:color="auto" w:fill="FFFFFF"/>
          <w:lang w:val="en-US"/>
        </w:rPr>
        <w:t>应记录所有数据访问和修改操作。</w:t>
      </w:r>
    </w:p>
    <w:p w14:paraId="4175D1AA">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7.5 用户培训与意识提升</w:t>
      </w:r>
    </w:p>
    <w:p w14:paraId="5FB8233D">
      <w:pPr>
        <w:pStyle w:val="33"/>
        <w:spacing w:before="156" w:beforeLines="50" w:after="156" w:afterLines="50"/>
        <w:rPr>
          <w:rFonts w:ascii="Helvetica" w:hAnsi="Helvetica" w:eastAsia="Helvetica" w:cs="Helvetica"/>
          <w:color w:val="333333"/>
          <w:szCs w:val="21"/>
          <w:shd w:val="clear" w:color="auto" w:fill="FFFFFF"/>
          <w:lang w:val="en-US"/>
        </w:rPr>
      </w:pPr>
      <w:r>
        <w:rPr>
          <w:rFonts w:hint="eastAsia" w:asciiTheme="minorEastAsia" w:hAnsiTheme="minorEastAsia" w:eastAsiaTheme="minorEastAsia" w:cstheme="minorEastAsia"/>
          <w:color w:val="333333"/>
          <w:szCs w:val="21"/>
          <w:shd w:val="clear" w:color="auto" w:fill="FFFFFF"/>
          <w:lang w:val="en-US"/>
        </w:rPr>
        <w:t xml:space="preserve">  </w:t>
      </w:r>
      <w:r>
        <w:rPr>
          <w:rFonts w:hint="eastAsia" w:cs="黑体" w:asciiTheme="minorEastAsia" w:hAnsiTheme="minorEastAsia" w:eastAsiaTheme="minorEastAsia"/>
          <w:color w:val="333333"/>
          <w:szCs w:val="21"/>
          <w:shd w:val="clear" w:color="auto" w:fill="FFFFFF"/>
          <w:lang w:val="en-US"/>
        </w:rPr>
        <w:t>应</w:t>
      </w:r>
      <w:r>
        <w:rPr>
          <w:rFonts w:hint="eastAsia" w:asciiTheme="minorEastAsia" w:hAnsiTheme="minorEastAsia" w:eastAsiaTheme="minorEastAsia" w:cstheme="minorEastAsia"/>
          <w:color w:val="333333"/>
          <w:szCs w:val="21"/>
          <w:shd w:val="clear" w:color="auto" w:fill="FFFFFF"/>
          <w:lang w:val="en-US"/>
        </w:rPr>
        <w:t>定期对实验室员工进行数据安全和隐私保护培训，增强他们对数据安全重要性的认识和应急响应能力。</w:t>
      </w:r>
    </w:p>
    <w:p w14:paraId="14655BD0">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7.6 数据管理</w:t>
      </w:r>
    </w:p>
    <w:p w14:paraId="165A0C83">
      <w:pPr>
        <w:pStyle w:val="33"/>
        <w:spacing w:before="0" w:beforeLines="-2147483648" w:after="0" w:afterLines="-2147483648"/>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7.6.1</w:t>
      </w:r>
      <w:r>
        <w:rPr>
          <w:rFonts w:hint="eastAsia" w:asciiTheme="minorEastAsia" w:hAnsiTheme="minorEastAsia" w:eastAsiaTheme="minorEastAsia" w:cstheme="minorEastAsia"/>
          <w:color w:val="333333"/>
          <w:szCs w:val="21"/>
          <w:shd w:val="clear" w:color="auto" w:fill="FFFFFF"/>
          <w:lang w:val="en-US"/>
        </w:rPr>
        <w:t>数据应分类存储、备份和管理，保证基因测序公共服务平台数据的完整性和安全性，数据的采集、处理、分析和共享应严格按照相关规定进行。</w:t>
      </w:r>
    </w:p>
    <w:p w14:paraId="7650E2EE">
      <w:pPr>
        <w:pStyle w:val="33"/>
        <w:spacing w:before="0" w:beforeLines="-2147483648" w:after="0" w:afterLines="-2147483648"/>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7.6.2</w:t>
      </w:r>
      <w:r>
        <w:rPr>
          <w:rFonts w:hint="eastAsia" w:asciiTheme="minorEastAsia" w:hAnsiTheme="minorEastAsia" w:eastAsiaTheme="minorEastAsia" w:cstheme="minorEastAsia"/>
          <w:color w:val="333333"/>
          <w:szCs w:val="21"/>
          <w:shd w:val="clear" w:color="auto" w:fill="FFFFFF"/>
          <w:lang w:val="en-US"/>
        </w:rPr>
        <w:t>应采用专门的数据管理系统进行存储和处理，定期进行数据管理系统的更新和维护，以确保数据的准确性和完整性。需建立统一的数据标准，制定统一的数据命名规则、存储格式、备份策略等，确保数据的一致性和可维护性。</w:t>
      </w:r>
    </w:p>
    <w:p w14:paraId="6779DD20">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7.6.3 </w:t>
      </w:r>
      <w:r>
        <w:rPr>
          <w:rFonts w:hint="eastAsia" w:asciiTheme="minorEastAsia" w:hAnsiTheme="minorEastAsia" w:eastAsiaTheme="minorEastAsia" w:cstheme="minorEastAsia"/>
          <w:color w:val="333333"/>
          <w:szCs w:val="21"/>
          <w:shd w:val="clear" w:color="auto" w:fill="FFFFFF"/>
          <w:lang w:val="en-US"/>
        </w:rPr>
        <w:t>数据平台应当能够有效地集成和处理基因测序公共服务平台的各种数据和信息，包括实验数据、设备状态数据、环境数据、工作流程数据等。</w:t>
      </w:r>
    </w:p>
    <w:p w14:paraId="087394DD">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7.6.4 </w:t>
      </w:r>
      <w:r>
        <w:rPr>
          <w:rFonts w:hint="eastAsia" w:asciiTheme="minorEastAsia" w:hAnsiTheme="minorEastAsia" w:eastAsiaTheme="minorEastAsia" w:cstheme="minorEastAsia"/>
          <w:color w:val="333333"/>
          <w:szCs w:val="21"/>
          <w:shd w:val="clear" w:color="auto" w:fill="FFFFFF"/>
          <w:lang w:val="en-US"/>
        </w:rPr>
        <w:t>应对基因测序公共服务平台中的数据进行分类分级管理，设置不同层级的访问权限，保护重要数据的安全性和完整性。</w:t>
      </w:r>
    </w:p>
    <w:p w14:paraId="13D29538">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7.6.5 </w:t>
      </w:r>
      <w:r>
        <w:rPr>
          <w:rFonts w:hint="eastAsia" w:asciiTheme="minorEastAsia" w:hAnsiTheme="minorEastAsia" w:eastAsiaTheme="minorEastAsia" w:cstheme="minorEastAsia"/>
          <w:color w:val="333333"/>
          <w:szCs w:val="21"/>
          <w:shd w:val="clear" w:color="auto" w:fill="FFFFFF"/>
          <w:lang w:val="en-US"/>
        </w:rPr>
        <w:t>应制定相应的数据共享政策和流程，保障数据共享的合法性和权益，建立数据共享平台，通过数据共享来提高基因测序公共服务平台的工作效率和科研成果转化率。</w:t>
      </w:r>
    </w:p>
    <w:p w14:paraId="5E94375B">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7.7 网络管理</w:t>
      </w:r>
    </w:p>
    <w:p w14:paraId="6722A320">
      <w:pPr>
        <w:pStyle w:val="33"/>
        <w:spacing w:before="0" w:beforeLines="-2147483648" w:after="0" w:afterLines="-2147483648"/>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7.7.1 </w:t>
      </w:r>
      <w:r>
        <w:rPr>
          <w:rFonts w:hint="eastAsia" w:asciiTheme="minorEastAsia" w:hAnsiTheme="minorEastAsia" w:eastAsiaTheme="minorEastAsia" w:cstheme="minorEastAsia"/>
          <w:color w:val="333333"/>
          <w:szCs w:val="21"/>
          <w:shd w:val="clear" w:color="auto" w:fill="FFFFFF"/>
          <w:lang w:val="en-US"/>
        </w:rPr>
        <w:t>应具有完善的网络管理机制，覆盖基因测序公共服务平台内的物联网、互联网等无线/有线网络。</w:t>
      </w:r>
    </w:p>
    <w:p w14:paraId="24413784">
      <w:pPr>
        <w:pStyle w:val="33"/>
        <w:spacing w:before="0" w:beforeLines="-2147483648" w:after="0" w:afterLines="-2147483648"/>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7.7.2 </w:t>
      </w:r>
      <w:r>
        <w:rPr>
          <w:rFonts w:hint="eastAsia" w:asciiTheme="minorEastAsia" w:hAnsiTheme="minorEastAsia" w:eastAsiaTheme="minorEastAsia" w:cstheme="minorEastAsia"/>
          <w:color w:val="333333"/>
          <w:szCs w:val="21"/>
          <w:shd w:val="clear" w:color="auto" w:fill="FFFFFF"/>
          <w:lang w:val="en-US"/>
        </w:rPr>
        <w:t>应具有完善的信息共享机制，包括共享平台、信息交流等，让相关人员及时了解基因测序公共服务平台信息化管理的最新动态。</w:t>
      </w:r>
    </w:p>
    <w:p w14:paraId="4758F1CE">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7.7.3 </w:t>
      </w:r>
      <w:r>
        <w:rPr>
          <w:rFonts w:hint="eastAsia" w:asciiTheme="minorEastAsia" w:hAnsiTheme="minorEastAsia" w:eastAsiaTheme="minorEastAsia" w:cstheme="minorEastAsia"/>
          <w:color w:val="333333"/>
          <w:szCs w:val="21"/>
          <w:shd w:val="clear" w:color="auto" w:fill="FFFFFF"/>
          <w:lang w:val="en-US"/>
        </w:rPr>
        <w:t>应具有网络访问权限管理机制，管理员根据不同的职责和权限设置不同的账号和操作权限。</w:t>
      </w:r>
    </w:p>
    <w:p w14:paraId="6F245828">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7.7.4 </w:t>
      </w:r>
      <w:r>
        <w:rPr>
          <w:rFonts w:hint="eastAsia" w:asciiTheme="minorEastAsia" w:hAnsiTheme="minorEastAsia" w:eastAsiaTheme="minorEastAsia" w:cstheme="minorEastAsia"/>
          <w:color w:val="333333"/>
          <w:szCs w:val="21"/>
          <w:shd w:val="clear" w:color="auto" w:fill="FFFFFF"/>
          <w:lang w:val="en-US"/>
        </w:rPr>
        <w:t>应建立网络应急响应机制。在发生信息安全事故或者网络发生异常情况时，可及时启动应急预案，进行快速响应和处理。</w:t>
      </w:r>
    </w:p>
    <w:p w14:paraId="23C182F2">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7.8 安全管理</w:t>
      </w:r>
    </w:p>
    <w:p w14:paraId="36CBEBCB">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7.8.1</w:t>
      </w:r>
      <w:r>
        <w:rPr>
          <w:rFonts w:hint="eastAsia" w:asciiTheme="minorEastAsia" w:hAnsiTheme="minorEastAsia" w:eastAsiaTheme="minorEastAsia" w:cstheme="minorEastAsia"/>
          <w:color w:val="333333"/>
          <w:szCs w:val="21"/>
          <w:shd w:val="clear" w:color="auto" w:fill="FFFFFF"/>
          <w:lang w:val="en-US"/>
        </w:rPr>
        <w:t>利用物联网技术，对基因测序公共服务平台内的硬件、环境等进行全方位监控，及时发现并处理安全隐患。利用智能预警系统，对基因测序公共服务平台的安全风险进行预测和预警。</w:t>
      </w:r>
    </w:p>
    <w:p w14:paraId="3CEB942C">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7.8.2</w:t>
      </w:r>
      <w:r>
        <w:rPr>
          <w:rFonts w:hint="eastAsia" w:asciiTheme="majorEastAsia" w:hAnsiTheme="majorEastAsia" w:eastAsiaTheme="majorEastAsia" w:cstheme="majorEastAsia"/>
          <w:color w:val="333333"/>
          <w:szCs w:val="21"/>
          <w:shd w:val="clear" w:color="auto" w:fill="FFFFFF"/>
          <w:lang w:val="en-US"/>
        </w:rPr>
        <w:t>服务器和信息系统终端应自动安装安全补丁，定期更新病毒库，设置应用程序白名单。</w:t>
      </w:r>
    </w:p>
    <w:p w14:paraId="1A64FF42">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7.8.3 </w:t>
      </w:r>
      <w:r>
        <w:rPr>
          <w:rFonts w:hint="eastAsia" w:asciiTheme="minorEastAsia" w:hAnsiTheme="minorEastAsia" w:eastAsiaTheme="minorEastAsia" w:cstheme="minorEastAsia"/>
          <w:color w:val="333333"/>
          <w:szCs w:val="21"/>
          <w:shd w:val="clear" w:color="auto" w:fill="FFFFFF"/>
          <w:lang w:val="en-US"/>
        </w:rPr>
        <w:t>应采取数据的备份、加密权限控制等多重数据安全措施。在数据的存储、传输和使用过程中，应采取数据加密、备份等措施。</w:t>
      </w:r>
    </w:p>
    <w:p w14:paraId="5B6BAE3F">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7.8.4</w:t>
      </w:r>
      <w:r>
        <w:rPr>
          <w:rFonts w:hint="eastAsia" w:ascii="Helvetica" w:hAnsi="Helvetica" w:eastAsia="Helvetica" w:cs="Helvetica"/>
          <w:color w:val="333333"/>
          <w:szCs w:val="21"/>
          <w:shd w:val="clear" w:color="auto" w:fill="FFFFFF"/>
          <w:lang w:val="en-US"/>
        </w:rPr>
        <w:t xml:space="preserve"> </w:t>
      </w:r>
      <w:r>
        <w:rPr>
          <w:rFonts w:hint="eastAsia" w:asciiTheme="minorEastAsia" w:hAnsiTheme="minorEastAsia" w:eastAsiaTheme="minorEastAsia" w:cstheme="minorEastAsia"/>
          <w:color w:val="333333"/>
          <w:szCs w:val="21"/>
          <w:shd w:val="clear" w:color="auto" w:fill="FFFFFF"/>
          <w:lang w:val="en-US"/>
        </w:rPr>
        <w:t>网络安全的保护措施应覆盖物联网安全和互联网安全，包括但不限于物理隔离、搭建内部局域网、实施网络分段、设定网关过滤、强密码、加装防病毒软件/防火墙/IPS 等保护物联网、互联网安全的常见措施。</w:t>
      </w:r>
    </w:p>
    <w:p w14:paraId="0B5E5511">
      <w:pPr>
        <w:pStyle w:val="33"/>
        <w:spacing w:before="0" w:beforeLines="-2147483648" w:after="0" w:afterLines="-2147483648"/>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7.8.6</w:t>
      </w:r>
      <w:r>
        <w:rPr>
          <w:rFonts w:hint="eastAsia" w:ascii="Helvetica" w:hAnsi="Helvetica" w:eastAsia="Helvetica" w:cs="Helvetica"/>
          <w:color w:val="333333"/>
          <w:szCs w:val="21"/>
          <w:shd w:val="clear" w:color="auto" w:fill="FFFFFF"/>
          <w:lang w:val="en-US"/>
        </w:rPr>
        <w:t xml:space="preserve"> </w:t>
      </w:r>
      <w:r>
        <w:rPr>
          <w:rFonts w:hint="eastAsia" w:asciiTheme="minorEastAsia" w:hAnsiTheme="minorEastAsia" w:eastAsiaTheme="minorEastAsia" w:cstheme="minorEastAsia"/>
          <w:color w:val="333333"/>
          <w:szCs w:val="21"/>
          <w:shd w:val="clear" w:color="auto" w:fill="FFFFFF"/>
          <w:lang w:val="en-US"/>
        </w:rPr>
        <w:t>应建立完善的信息安全管理体系。宜对基因测序公共服务平台的系统资源进行实时监测，对基因测序公共服务平台内的工作人员进行信息安全教育培训，增强人员的信息安全意识和技能。</w:t>
      </w:r>
    </w:p>
    <w:p w14:paraId="02F558E5">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7.8.7 </w:t>
      </w:r>
      <w:r>
        <w:rPr>
          <w:rFonts w:hint="eastAsia" w:asciiTheme="minorEastAsia" w:hAnsiTheme="minorEastAsia" w:eastAsiaTheme="minorEastAsia" w:cstheme="minorEastAsia"/>
          <w:color w:val="333333"/>
          <w:szCs w:val="21"/>
          <w:shd w:val="clear" w:color="auto" w:fill="FFFFFF"/>
          <w:lang w:val="en-US"/>
        </w:rPr>
        <w:t>应建立系统安全策略清单，主要包括访问控制、身份认证、日志审计等安全策略集合。</w:t>
      </w:r>
    </w:p>
    <w:p w14:paraId="22107227">
      <w:pPr>
        <w:pStyle w:val="51"/>
        <w:spacing w:before="312" w:after="312"/>
      </w:pPr>
      <w:r>
        <w:rPr>
          <w:rFonts w:hint="eastAsia"/>
        </w:rPr>
        <w:t>人员培训与资质</w:t>
      </w:r>
    </w:p>
    <w:p w14:paraId="2B35B586">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8.1 人员资格</w:t>
      </w:r>
    </w:p>
    <w:p w14:paraId="3A9E4EA9">
      <w:pPr>
        <w:pStyle w:val="33"/>
        <w:spacing w:before="156" w:beforeLines="50" w:after="156" w:afterLines="50"/>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  </w:t>
      </w:r>
      <w:r>
        <w:rPr>
          <w:rFonts w:hint="eastAsia" w:asciiTheme="minorEastAsia" w:hAnsiTheme="minorEastAsia" w:eastAsiaTheme="minorEastAsia" w:cstheme="minorEastAsia"/>
          <w:color w:val="333333"/>
          <w:szCs w:val="21"/>
          <w:shd w:val="clear" w:color="auto" w:fill="FFFFFF"/>
          <w:lang w:val="en-US"/>
        </w:rPr>
        <w:t>实验室技术员、科学家或管理人员应当具备相关领域的学术背景，比如生物学、化学、医学或其他生命科学专业。对于特定领域的实验室，如微生物学或分子生物学，需要更专业化的教育背景。</w:t>
      </w:r>
    </w:p>
    <w:p w14:paraId="4193AC79">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8.2 培训要求</w:t>
      </w:r>
    </w:p>
    <w:p w14:paraId="2621BCB7">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8.2.1 </w:t>
      </w:r>
      <w:r>
        <w:rPr>
          <w:rFonts w:hint="eastAsia" w:asciiTheme="minorEastAsia" w:hAnsiTheme="minorEastAsia" w:eastAsiaTheme="minorEastAsia" w:cstheme="minorEastAsia"/>
          <w:color w:val="333333"/>
          <w:szCs w:val="21"/>
          <w:shd w:val="clear" w:color="auto" w:fill="FFFFFF"/>
          <w:lang w:val="en-US"/>
        </w:rPr>
        <w:t>入新员工应接受包括实验室安全、设备操作、样本处理和质量控制在内的全面培训。</w:t>
      </w:r>
    </w:p>
    <w:p w14:paraId="1DB2BAEB">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8.2.2</w:t>
      </w:r>
      <w:r>
        <w:rPr>
          <w:rFonts w:hint="eastAsia" w:asciiTheme="minorEastAsia" w:hAnsiTheme="minorEastAsia" w:eastAsiaTheme="minorEastAsia" w:cstheme="minorEastAsia"/>
          <w:color w:val="333333"/>
          <w:szCs w:val="21"/>
          <w:shd w:val="clear" w:color="auto" w:fill="FFFFFF"/>
          <w:lang w:val="en-US"/>
        </w:rPr>
        <w:t>应针对特定实验技术或设备的操作进行深入培训。</w:t>
      </w:r>
    </w:p>
    <w:p w14:paraId="1AE220FD">
      <w:pPr>
        <w:pStyle w:val="33"/>
        <w:spacing w:before="0" w:beforeLines="-2147483648" w:after="0" w:afterLines="-2147483648"/>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8.2.3</w:t>
      </w:r>
      <w:r>
        <w:rPr>
          <w:rFonts w:hint="eastAsia" w:asciiTheme="minorEastAsia" w:hAnsiTheme="minorEastAsia" w:eastAsiaTheme="minorEastAsia" w:cstheme="minorEastAsia"/>
          <w:color w:val="333333"/>
          <w:szCs w:val="21"/>
          <w:shd w:val="clear" w:color="auto" w:fill="FFFFFF"/>
          <w:lang w:val="en-US"/>
        </w:rPr>
        <w:t>员工应了解并遵守所有适用的法律法规和标准操作程序（</w:t>
      </w:r>
      <w:r>
        <w:rPr>
          <w:rFonts w:ascii="Times New Roman" w:hAnsi="Times New Roman" w:eastAsiaTheme="minorEastAsia"/>
          <w:color w:val="333333"/>
          <w:szCs w:val="21"/>
          <w:shd w:val="clear" w:color="auto" w:fill="FFFFFF"/>
          <w:lang w:val="en-US"/>
        </w:rPr>
        <w:t>SOPs</w:t>
      </w:r>
      <w:r>
        <w:rPr>
          <w:rFonts w:hint="eastAsia" w:asciiTheme="minorEastAsia" w:hAnsiTheme="minorEastAsia" w:eastAsiaTheme="minorEastAsia" w:cstheme="minorEastAsia"/>
          <w:color w:val="333333"/>
          <w:szCs w:val="21"/>
          <w:shd w:val="clear" w:color="auto" w:fill="FFFFFF"/>
          <w:lang w:val="en-US"/>
        </w:rPr>
        <w:t>）。</w:t>
      </w:r>
    </w:p>
    <w:p w14:paraId="4A2CBEB9">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8.3 持续教育</w:t>
      </w:r>
    </w:p>
    <w:p w14:paraId="2B34AAEE">
      <w:pPr>
        <w:pStyle w:val="33"/>
        <w:spacing w:before="0" w:beforeLines="-2147483648" w:after="0" w:afterLines="-2147483648"/>
        <w:rPr>
          <w:rFonts w:hint="eastAsia"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8.3.1</w:t>
      </w:r>
      <w:r>
        <w:rPr>
          <w:rFonts w:hint="eastAsia" w:asciiTheme="minorEastAsia" w:hAnsiTheme="minorEastAsia" w:eastAsiaTheme="minorEastAsia" w:cstheme="minorEastAsia"/>
          <w:color w:val="333333"/>
          <w:szCs w:val="21"/>
          <w:shd w:val="clear" w:color="auto" w:fill="FFFFFF"/>
          <w:lang w:val="en-US"/>
        </w:rPr>
        <w:t>应定期举行内部或外部培训课程，更新员工对新技术、新方法和行业标准的认识。</w:t>
      </w:r>
    </w:p>
    <w:p w14:paraId="520EE578">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8.3.2</w:t>
      </w:r>
      <w:r>
        <w:rPr>
          <w:rFonts w:hint="eastAsia" w:asciiTheme="minorEastAsia" w:hAnsiTheme="minorEastAsia" w:eastAsiaTheme="minorEastAsia" w:cstheme="minorEastAsia"/>
          <w:color w:val="333333"/>
          <w:szCs w:val="21"/>
          <w:shd w:val="clear" w:color="auto" w:fill="FFFFFF"/>
          <w:lang w:val="en-US"/>
        </w:rPr>
        <w:t>员工宜参与研讨会、会议和在线课程，以促进其职业生涯的发展。</w:t>
      </w:r>
    </w:p>
    <w:p w14:paraId="4881BEB2">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8.3.2</w:t>
      </w:r>
      <w:r>
        <w:rPr>
          <w:rFonts w:hint="eastAsia" w:asciiTheme="minorEastAsia" w:hAnsiTheme="minorEastAsia" w:eastAsiaTheme="minorEastAsia" w:cstheme="minorEastAsia"/>
          <w:color w:val="333333"/>
          <w:szCs w:val="21"/>
          <w:shd w:val="clear" w:color="auto" w:fill="FFFFFF"/>
          <w:lang w:val="en-US"/>
        </w:rPr>
        <w:t>员工应熟悉实验室内的不同角色和任务，增加灵活性和团队协作能力。</w:t>
      </w:r>
    </w:p>
    <w:p w14:paraId="0D8C7C81">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8.3.4 </w:t>
      </w:r>
      <w:r>
        <w:rPr>
          <w:rFonts w:hint="eastAsia" w:asciiTheme="minorEastAsia" w:hAnsiTheme="minorEastAsia" w:eastAsiaTheme="minorEastAsia" w:cstheme="minorEastAsia"/>
          <w:color w:val="333333"/>
          <w:szCs w:val="21"/>
          <w:shd w:val="clear" w:color="auto" w:fill="FFFFFF"/>
          <w:lang w:val="en-US"/>
        </w:rPr>
        <w:t>应定期评估培训的有效性，收集员工反馈，以改进培训计划和调整培训需求。</w:t>
      </w:r>
    </w:p>
    <w:p w14:paraId="2FE29445">
      <w:pPr>
        <w:pStyle w:val="51"/>
        <w:spacing w:before="312" w:after="312"/>
      </w:pPr>
      <w:r>
        <w:t>记录与报告</w:t>
      </w:r>
    </w:p>
    <w:p w14:paraId="38FD883B">
      <w:pPr>
        <w:pStyle w:val="33"/>
        <w:spacing w:before="0" w:beforeLines="-2147483648" w:after="0" w:afterLines="-2147483648"/>
        <w:rPr>
          <w:rFonts w:hint="eastAsia" w:ascii="宋体" w:hAnsi="宋体" w:cs="宋体"/>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9.1 </w:t>
      </w:r>
      <w:r>
        <w:rPr>
          <w:rFonts w:hint="eastAsia" w:ascii="宋体" w:hAnsi="宋体" w:cs="宋体"/>
          <w:color w:val="333333"/>
          <w:szCs w:val="21"/>
          <w:shd w:val="clear" w:color="auto" w:fill="FFFFFF"/>
          <w:lang w:val="en-US"/>
        </w:rPr>
        <w:t>实验记录：包括实验日期、操作人员、使用的试剂和设备、实验条件、观察结果和任何异常情况。实验记录应即时填写，避免事后补记。</w:t>
      </w:r>
    </w:p>
    <w:p w14:paraId="6F976CE0">
      <w:pPr>
        <w:pStyle w:val="33"/>
        <w:spacing w:before="0" w:beforeLines="-2147483648" w:after="0" w:afterLines="-2147483648"/>
        <w:rPr>
          <w:rFonts w:hint="eastAsia" w:ascii="宋体" w:hAnsi="宋体" w:cs="宋体"/>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9.2 </w:t>
      </w:r>
      <w:r>
        <w:rPr>
          <w:rFonts w:hint="eastAsia" w:ascii="宋体" w:hAnsi="宋体" w:cs="宋体"/>
          <w:color w:val="333333"/>
          <w:szCs w:val="21"/>
          <w:shd w:val="clear" w:color="auto" w:fill="FFFFFF"/>
          <w:lang w:val="en-US"/>
        </w:rPr>
        <w:t>数据分析报告：总结实验数据，提供统计分析结果，包括图表、图形和解释。报告应客观地反映数据，避免偏见。</w:t>
      </w:r>
    </w:p>
    <w:p w14:paraId="00C6079F">
      <w:pPr>
        <w:pStyle w:val="33"/>
        <w:spacing w:before="0" w:beforeLines="-2147483648" w:after="0" w:afterLines="-2147483648"/>
        <w:rPr>
          <w:rFonts w:hint="eastAsia" w:ascii="宋体" w:hAnsi="宋体" w:cs="宋体"/>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9.3 </w:t>
      </w:r>
      <w:r>
        <w:rPr>
          <w:rFonts w:hint="eastAsia" w:ascii="宋体" w:hAnsi="宋体" w:cs="宋体"/>
          <w:color w:val="333333"/>
          <w:szCs w:val="21"/>
          <w:shd w:val="clear" w:color="auto" w:fill="FFFFFF"/>
          <w:lang w:val="en-US"/>
        </w:rPr>
        <w:t>质量审核记录：记录定期进行的质量审核过程和结果，包括任何发现的问题和改进措施。</w:t>
      </w:r>
    </w:p>
    <w:p w14:paraId="713D6308">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9.4 文档管理</w:t>
      </w:r>
    </w:p>
    <w:p w14:paraId="1435FDCE">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9.4.1</w:t>
      </w:r>
      <w:r>
        <w:rPr>
          <w:rFonts w:hint="eastAsia" w:asciiTheme="minorEastAsia" w:hAnsiTheme="minorEastAsia" w:eastAsiaTheme="minorEastAsia" w:cstheme="minorEastAsia"/>
          <w:color w:val="333333"/>
          <w:szCs w:val="21"/>
          <w:shd w:val="clear" w:color="auto" w:fill="FFFFFF"/>
          <w:lang w:val="en-US"/>
        </w:rPr>
        <w:t>使用电子文档，便于存储、检索和分享。</w:t>
      </w:r>
    </w:p>
    <w:p w14:paraId="64BDB704">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9.4.2 </w:t>
      </w:r>
      <w:r>
        <w:rPr>
          <w:rFonts w:hint="eastAsia" w:asciiTheme="minorEastAsia" w:hAnsiTheme="minorEastAsia" w:eastAsiaTheme="minorEastAsia" w:cstheme="minorEastAsia"/>
          <w:color w:val="333333"/>
          <w:szCs w:val="21"/>
          <w:shd w:val="clear" w:color="auto" w:fill="FFFFFF"/>
          <w:lang w:val="en-US"/>
        </w:rPr>
        <w:t>应确保文档的更新版本得以正确标记和分发。</w:t>
      </w:r>
    </w:p>
    <w:p w14:paraId="649EDA15">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9.4.3 </w:t>
      </w:r>
      <w:r>
        <w:rPr>
          <w:rFonts w:hint="eastAsia" w:asciiTheme="minorEastAsia" w:hAnsiTheme="minorEastAsia" w:eastAsiaTheme="minorEastAsia" w:cstheme="minorEastAsia"/>
          <w:color w:val="333333"/>
          <w:szCs w:val="21"/>
          <w:shd w:val="clear" w:color="auto" w:fill="FFFFFF"/>
          <w:lang w:val="en-US"/>
        </w:rPr>
        <w:t>应设定存档期限，区分短期和长期存储需求。</w:t>
      </w:r>
    </w:p>
    <w:p w14:paraId="669F34FE">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9.4.4 </w:t>
      </w:r>
      <w:r>
        <w:rPr>
          <w:rFonts w:hint="eastAsia" w:asciiTheme="minorEastAsia" w:hAnsiTheme="minorEastAsia" w:eastAsiaTheme="minorEastAsia" w:cstheme="minorEastAsia"/>
          <w:color w:val="333333"/>
          <w:szCs w:val="21"/>
          <w:shd w:val="clear" w:color="auto" w:fill="FFFFFF"/>
          <w:lang w:val="en-US"/>
        </w:rPr>
        <w:t>应设定访问级别，保护敏感信息不被未经授权的人员查看。</w:t>
      </w:r>
    </w:p>
    <w:p w14:paraId="453E0554">
      <w:pPr>
        <w:pStyle w:val="51"/>
        <w:spacing w:before="312" w:after="312"/>
        <w:rPr>
          <w:rFonts w:hint="eastAsia" w:hAnsi="黑体" w:cs="黑体"/>
        </w:rPr>
      </w:pPr>
      <w:r>
        <w:rPr>
          <w:rFonts w:hint="eastAsia" w:hAnsi="黑体" w:cs="黑体"/>
        </w:rPr>
        <w:t>客户服务与反馈</w:t>
      </w:r>
    </w:p>
    <w:p w14:paraId="6C0F18FB">
      <w:pPr>
        <w:pStyle w:val="33"/>
        <w:spacing w:before="156" w:beforeLines="50" w:after="156" w:afterLines="50"/>
        <w:rPr>
          <w:rFonts w:hint="eastAsia"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10.1 客户沟通渠道</w:t>
      </w:r>
    </w:p>
    <w:p w14:paraId="34950E4A">
      <w:pPr>
        <w:pStyle w:val="33"/>
        <w:spacing w:before="156" w:beforeLines="50" w:after="156" w:afterLines="50"/>
        <w:rPr>
          <w:rFonts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10.1.1 咨询渠道</w:t>
      </w:r>
    </w:p>
    <w:p w14:paraId="640EF898">
      <w:pPr>
        <w:pStyle w:val="33"/>
        <w:spacing w:before="0" w:beforeLines="-2147483648" w:after="0" w:afterLines="-2147483648"/>
        <w:ind w:firstLine="420" w:firstLineChars="200"/>
        <w:rPr>
          <w:rFonts w:ascii="Helvetica" w:hAnsi="Helvetica" w:eastAsia="Helvetica" w:cs="Helvetica"/>
          <w:color w:val="333333"/>
          <w:szCs w:val="21"/>
          <w:shd w:val="clear" w:color="auto" w:fill="FFFFFF"/>
          <w:lang w:val="en-US"/>
        </w:rPr>
      </w:pPr>
      <w:r>
        <w:rPr>
          <w:rFonts w:hint="eastAsia" w:asciiTheme="minorEastAsia" w:hAnsiTheme="minorEastAsia" w:eastAsiaTheme="minorEastAsia" w:cstheme="minorEastAsia"/>
          <w:color w:val="333333"/>
          <w:szCs w:val="21"/>
          <w:shd w:val="clear" w:color="auto" w:fill="FFFFFF"/>
          <w:lang w:val="en-US"/>
        </w:rPr>
        <w:t>提供多种方式供客户询问，如电话、电子邮件、社交媒体、在线聊天和现场咨询服务，确保快速响应客户查询。</w:t>
      </w:r>
    </w:p>
    <w:p w14:paraId="3B151419">
      <w:pPr>
        <w:pStyle w:val="33"/>
        <w:spacing w:before="156" w:beforeLines="50" w:after="156" w:afterLines="50"/>
        <w:rPr>
          <w:rFonts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 xml:space="preserve">10.1.2 </w:t>
      </w:r>
      <w:r>
        <w:rPr>
          <w:rFonts w:hint="eastAsia" w:ascii="黑体" w:hAnsi="黑体" w:eastAsia="黑体" w:cstheme="minorEastAsia"/>
          <w:color w:val="333333"/>
          <w:szCs w:val="21"/>
          <w:shd w:val="clear" w:color="auto" w:fill="FFFFFF"/>
          <w:lang w:val="en-US"/>
        </w:rPr>
        <w:t>投诉处理</w:t>
      </w:r>
    </w:p>
    <w:p w14:paraId="3B47620B">
      <w:pPr>
        <w:pStyle w:val="33"/>
        <w:spacing w:before="0" w:beforeLines="-2147483648" w:after="0" w:afterLines="-2147483648"/>
        <w:ind w:firstLine="420" w:firstLineChars="200"/>
        <w:rPr>
          <w:rFonts w:ascii="Helvetica" w:hAnsi="Helvetica" w:eastAsia="Helvetica" w:cs="Helvetica"/>
          <w:color w:val="333333"/>
          <w:szCs w:val="21"/>
          <w:shd w:val="clear" w:color="auto" w:fill="FFFFFF"/>
          <w:lang w:val="en-US"/>
        </w:rPr>
      </w:pPr>
      <w:r>
        <w:rPr>
          <w:rFonts w:hint="eastAsia" w:asciiTheme="minorEastAsia" w:hAnsiTheme="minorEastAsia" w:eastAsiaTheme="minorEastAsia" w:cstheme="minorEastAsia"/>
          <w:color w:val="333333"/>
          <w:szCs w:val="21"/>
          <w:shd w:val="clear" w:color="auto" w:fill="FFFFFF"/>
          <w:lang w:val="en-US"/>
        </w:rPr>
        <w:t>建立明确的投诉流程，包括记录投诉、评估情况、解决问题和向客户反馈结果。投诉应得到及时且专业的处理，以恢复客户的信任。</w:t>
      </w:r>
    </w:p>
    <w:p w14:paraId="2B660D91">
      <w:pPr>
        <w:pStyle w:val="33"/>
        <w:spacing w:before="156" w:beforeLines="50" w:after="156" w:afterLines="50"/>
        <w:rPr>
          <w:rFonts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10.1.3 反馈机制</w:t>
      </w:r>
    </w:p>
    <w:p w14:paraId="2FEE4786">
      <w:pPr>
        <w:pStyle w:val="33"/>
        <w:spacing w:before="0" w:beforeLines="-2147483648" w:after="0" w:afterLines="-2147483648"/>
        <w:ind w:firstLine="420" w:firstLineChars="200"/>
        <w:rPr>
          <w:rFonts w:ascii="Helvetica" w:hAnsi="Helvetica" w:eastAsia="Helvetica" w:cs="Helvetica"/>
          <w:color w:val="333333"/>
          <w:szCs w:val="21"/>
          <w:shd w:val="clear" w:color="auto" w:fill="FFFFFF"/>
          <w:lang w:val="en-US"/>
        </w:rPr>
      </w:pPr>
      <w:r>
        <w:rPr>
          <w:rFonts w:hint="eastAsia" w:asciiTheme="minorEastAsia" w:hAnsiTheme="minorEastAsia" w:eastAsiaTheme="minorEastAsia" w:cstheme="minorEastAsia"/>
          <w:color w:val="333333"/>
          <w:szCs w:val="21"/>
          <w:shd w:val="clear" w:color="auto" w:fill="FFFFFF"/>
          <w:lang w:val="en-US"/>
        </w:rPr>
        <w:t>鼓励客户提供正面和负面的反馈，可以通过调查问卷、在线评价或直接对话等方式收集，以了解服务的强项和改进空间。</w:t>
      </w:r>
    </w:p>
    <w:p w14:paraId="211E2A29">
      <w:pPr>
        <w:pStyle w:val="33"/>
        <w:spacing w:before="156" w:beforeLines="50" w:after="156" w:afterLines="50"/>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10.2 服务质量监控</w:t>
      </w:r>
    </w:p>
    <w:p w14:paraId="3D7E6EC5">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10.2.1</w:t>
      </w:r>
      <w:r>
        <w:rPr>
          <w:rFonts w:hint="eastAsia" w:asciiTheme="minorEastAsia" w:hAnsiTheme="minorEastAsia" w:eastAsiaTheme="minorEastAsia" w:cstheme="minorEastAsia"/>
          <w:color w:val="333333"/>
          <w:szCs w:val="21"/>
          <w:shd w:val="clear" w:color="auto" w:fill="FFFFFF"/>
          <w:lang w:val="en-US"/>
        </w:rPr>
        <w:t>应定期进行客户满意度调查，可以是在线问卷、电话访问或面对面访谈。</w:t>
      </w:r>
    </w:p>
    <w:p w14:paraId="7F663795">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10.2.2</w:t>
      </w:r>
      <w:r>
        <w:rPr>
          <w:rFonts w:hint="eastAsia" w:asciiTheme="minorEastAsia" w:hAnsiTheme="minorEastAsia" w:eastAsiaTheme="minorEastAsia" w:cstheme="minorEastAsia"/>
          <w:color w:val="333333"/>
          <w:szCs w:val="21"/>
          <w:shd w:val="clear" w:color="auto" w:fill="FFFFFF"/>
          <w:lang w:val="en-US"/>
        </w:rPr>
        <w:t>根据收集到的反馈和调查结果，制定具体的改进措施，包括流程优化、员工培训和技术创新。</w:t>
      </w:r>
    </w:p>
    <w:p w14:paraId="5BDD7BEA">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10.2.3</w:t>
      </w:r>
      <w:r>
        <w:rPr>
          <w:rFonts w:hint="eastAsia" w:asciiTheme="minorEastAsia" w:hAnsiTheme="minorEastAsia" w:eastAsiaTheme="minorEastAsia" w:cstheme="minorEastAsia"/>
          <w:color w:val="333333"/>
          <w:szCs w:val="21"/>
          <w:shd w:val="clear" w:color="auto" w:fill="FFFFFF"/>
          <w:lang w:val="en-US"/>
        </w:rPr>
        <w:t>设定关键性能指标，如响应时间、解决率、客户保留率等，定期监测和分析这些指标。</w:t>
      </w:r>
    </w:p>
    <w:p w14:paraId="7A8CA418">
      <w:pPr>
        <w:pStyle w:val="33"/>
        <w:spacing w:before="156" w:beforeLines="50" w:after="156" w:afterLines="50"/>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10.3 服务标准化与个性化</w:t>
      </w:r>
    </w:p>
    <w:p w14:paraId="67E56AF1">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10.3.1</w:t>
      </w:r>
      <w:r>
        <w:rPr>
          <w:rFonts w:hint="eastAsia" w:asciiTheme="minorEastAsia" w:hAnsiTheme="minorEastAsia" w:eastAsiaTheme="minorEastAsia" w:cstheme="minorEastAsia"/>
          <w:color w:val="333333"/>
          <w:szCs w:val="21"/>
          <w:shd w:val="clear" w:color="auto" w:fill="FFFFFF"/>
          <w:lang w:val="en-US"/>
        </w:rPr>
        <w:t>确保每位客户都能获得一致的服务体验，通过标准化操作程序（SOPs）和培训达成。</w:t>
      </w:r>
    </w:p>
    <w:p w14:paraId="4ED43414">
      <w:pPr>
        <w:pStyle w:val="33"/>
        <w:spacing w:before="0" w:beforeLines="-2147483648" w:after="0" w:afterLines="-2147483648"/>
        <w:rPr>
          <w:rFonts w:ascii="Helvetica" w:hAnsi="Helvetica" w:eastAsia="Helvetica" w:cs="Helvetica"/>
          <w:color w:val="333333"/>
          <w:szCs w:val="21"/>
          <w:shd w:val="clear" w:color="auto" w:fill="FFFFFF"/>
          <w:lang w:val="en-US"/>
        </w:rPr>
      </w:pPr>
      <w:r>
        <w:rPr>
          <w:rFonts w:hint="eastAsia" w:ascii="黑体" w:hAnsi="黑体" w:eastAsia="黑体" w:cs="黑体"/>
          <w:color w:val="333333"/>
          <w:szCs w:val="21"/>
          <w:shd w:val="clear" w:color="auto" w:fill="FFFFFF"/>
          <w:lang w:val="en-US"/>
        </w:rPr>
        <w:t>10.3.2</w:t>
      </w:r>
      <w:r>
        <w:rPr>
          <w:rFonts w:hint="eastAsia" w:asciiTheme="minorEastAsia" w:hAnsiTheme="minorEastAsia" w:eastAsiaTheme="minorEastAsia" w:cstheme="minorEastAsia"/>
          <w:color w:val="333333"/>
          <w:szCs w:val="21"/>
          <w:shd w:val="clear" w:color="auto" w:fill="FFFFFF"/>
          <w:lang w:val="en-US"/>
        </w:rPr>
        <w:t>在标准化的基础上，根据客户的具体需求和偏好提供定制服务，如个性化的咨询、定制的产品。</w:t>
      </w:r>
    </w:p>
    <w:p w14:paraId="100D39B3">
      <w:pPr>
        <w:pStyle w:val="51"/>
        <w:spacing w:before="312" w:after="312"/>
      </w:pPr>
      <w:r>
        <w:rPr>
          <w:rFonts w:hint="eastAsia"/>
        </w:rPr>
        <w:t>伦理遵守</w:t>
      </w:r>
    </w:p>
    <w:p w14:paraId="1A0145D6">
      <w:pPr>
        <w:pStyle w:val="33"/>
        <w:spacing w:before="156" w:beforeLines="50" w:after="156" w:afterLines="50"/>
        <w:rPr>
          <w:rFonts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11.1 研究设计阶段</w:t>
      </w:r>
    </w:p>
    <w:p w14:paraId="035A04F6">
      <w:pPr>
        <w:pStyle w:val="33"/>
        <w:keepNext w:val="0"/>
        <w:keepLines w:val="0"/>
        <w:pageBreakBefore w:val="0"/>
        <w:widowControl/>
        <w:kinsoku/>
        <w:wordWrap/>
        <w:overflowPunct/>
        <w:topLinePunct w:val="0"/>
        <w:autoSpaceDE/>
        <w:autoSpaceDN/>
        <w:bidi w:val="0"/>
        <w:adjustRightInd w:val="0"/>
        <w:snapToGrid/>
        <w:spacing w:before="0" w:after="0"/>
        <w:ind w:firstLine="420" w:firstLineChars="200"/>
        <w:textAlignment w:val="auto"/>
        <w:rPr>
          <w:rFonts w:ascii="Helvetica" w:hAnsi="Helvetica" w:eastAsia="Helvetica" w:cs="Helvetica"/>
          <w:color w:val="333333"/>
          <w:szCs w:val="21"/>
          <w:shd w:val="clear" w:color="auto" w:fill="FFFFFF"/>
          <w:lang w:val="en-US"/>
        </w:rPr>
      </w:pPr>
      <w:r>
        <w:rPr>
          <w:rFonts w:hint="eastAsia" w:asciiTheme="minorEastAsia" w:hAnsiTheme="minorEastAsia" w:eastAsiaTheme="minorEastAsia" w:cstheme="minorEastAsia"/>
          <w:color w:val="333333"/>
          <w:szCs w:val="21"/>
          <w:shd w:val="clear" w:color="auto" w:fill="FFFFFF"/>
          <w:lang w:val="en-US"/>
        </w:rPr>
        <w:t>在开始任何涉及人类样本的研究之前，研究者应仔细阅读并理解所有相关法律法规和伦理指导原则。</w:t>
      </w:r>
    </w:p>
    <w:p w14:paraId="14EBE8E6">
      <w:pPr>
        <w:pStyle w:val="33"/>
        <w:spacing w:before="156" w:beforeLines="50" w:after="156" w:afterLines="50"/>
        <w:rPr>
          <w:rFonts w:asciiTheme="minorEastAsia" w:hAnsiTheme="minorEastAsia" w:eastAsiaTheme="minorEastAsia" w:cstheme="minorEastAsia"/>
          <w:color w:val="333333"/>
          <w:szCs w:val="21"/>
          <w:shd w:val="clear" w:color="auto" w:fill="FFFFFF"/>
          <w:lang w:val="en-US"/>
        </w:rPr>
      </w:pPr>
      <w:r>
        <w:rPr>
          <w:rFonts w:hint="eastAsia" w:ascii="黑体" w:hAnsi="黑体" w:eastAsia="黑体" w:cs="黑体"/>
          <w:color w:val="333333"/>
          <w:szCs w:val="21"/>
          <w:shd w:val="clear" w:color="auto" w:fill="FFFFFF"/>
          <w:lang w:val="en-US"/>
        </w:rPr>
        <w:t>11.2 提交伦理申请</w:t>
      </w:r>
    </w:p>
    <w:p w14:paraId="56F33C74">
      <w:pPr>
        <w:pStyle w:val="33"/>
        <w:spacing w:before="0" w:beforeLines="-2147483648" w:after="0" w:afterLines="-2147483648"/>
        <w:ind w:firstLine="420" w:firstLineChars="200"/>
        <w:rPr>
          <w:rFonts w:ascii="Helvetica" w:hAnsi="Helvetica" w:eastAsia="Helvetica" w:cs="Helvetica"/>
          <w:color w:val="333333"/>
          <w:szCs w:val="21"/>
          <w:shd w:val="clear" w:color="auto" w:fill="FFFFFF"/>
          <w:lang w:val="en-US"/>
        </w:rPr>
      </w:pPr>
      <w:r>
        <w:rPr>
          <w:rFonts w:hint="eastAsia" w:asciiTheme="minorEastAsia" w:hAnsiTheme="minorEastAsia" w:eastAsiaTheme="minorEastAsia" w:cstheme="minorEastAsia"/>
          <w:color w:val="333333"/>
          <w:szCs w:val="21"/>
          <w:shd w:val="clear" w:color="auto" w:fill="FFFFFF"/>
          <w:lang w:val="en-US"/>
        </w:rPr>
        <w:t>向适当的伦理委员会提交研究计划和知情同意书草案，等待审批。</w:t>
      </w:r>
    </w:p>
    <w:p w14:paraId="54136F9B">
      <w:pPr>
        <w:pStyle w:val="33"/>
        <w:spacing w:before="156" w:beforeLines="50" w:after="156" w:afterLines="50"/>
        <w:rPr>
          <w:rFonts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11.3 伦理审查</w:t>
      </w:r>
    </w:p>
    <w:p w14:paraId="41839846">
      <w:pPr>
        <w:pStyle w:val="33"/>
        <w:spacing w:before="0" w:beforeLines="-2147483648" w:after="0" w:afterLines="-2147483648"/>
        <w:ind w:firstLine="420" w:firstLineChars="200"/>
        <w:rPr>
          <w:rFonts w:ascii="Helvetica" w:hAnsi="Helvetica" w:eastAsia="Helvetica" w:cs="Helvetica"/>
          <w:color w:val="333333"/>
          <w:szCs w:val="21"/>
          <w:shd w:val="clear" w:color="auto" w:fill="FFFFFF"/>
          <w:lang w:val="en-US"/>
        </w:rPr>
      </w:pPr>
      <w:r>
        <w:rPr>
          <w:rFonts w:hint="eastAsia" w:asciiTheme="minorEastAsia" w:hAnsiTheme="minorEastAsia" w:eastAsiaTheme="minorEastAsia" w:cstheme="minorEastAsia"/>
          <w:color w:val="333333"/>
          <w:szCs w:val="21"/>
          <w:shd w:val="clear" w:color="auto" w:fill="FFFFFF"/>
          <w:lang w:val="en-US"/>
        </w:rPr>
        <w:t>伦理委员会将评估研究计划，可能要求修改或补充信息，直至批准。</w:t>
      </w:r>
    </w:p>
    <w:p w14:paraId="390FE415">
      <w:pPr>
        <w:pStyle w:val="33"/>
        <w:spacing w:before="156" w:beforeLines="50" w:after="156" w:afterLines="50"/>
        <w:rPr>
          <w:rFonts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11.4 执行研究</w:t>
      </w:r>
    </w:p>
    <w:p w14:paraId="38831E1A">
      <w:pPr>
        <w:pStyle w:val="33"/>
        <w:spacing w:before="0" w:beforeLines="-2147483648" w:after="0" w:afterLines="-2147483648"/>
        <w:ind w:firstLine="420" w:firstLineChars="200"/>
        <w:rPr>
          <w:rFonts w:ascii="Helvetica" w:hAnsi="Helvetica" w:eastAsia="Helvetica" w:cs="Helvetica"/>
          <w:color w:val="333333"/>
          <w:szCs w:val="21"/>
          <w:shd w:val="clear" w:color="auto" w:fill="FFFFFF"/>
          <w:lang w:val="en-US"/>
        </w:rPr>
      </w:pPr>
      <w:r>
        <w:rPr>
          <w:rFonts w:hint="eastAsia" w:asciiTheme="minorEastAsia" w:hAnsiTheme="minorEastAsia" w:eastAsiaTheme="minorEastAsia" w:cstheme="minorEastAsia"/>
          <w:color w:val="333333"/>
          <w:szCs w:val="21"/>
          <w:shd w:val="clear" w:color="auto" w:fill="FFFFFF"/>
          <w:lang w:val="en-US"/>
        </w:rPr>
        <w:t>在获得伦理委员会的正式批准后，方可开始研究工作。</w:t>
      </w:r>
    </w:p>
    <w:p w14:paraId="1E4EE727">
      <w:pPr>
        <w:pStyle w:val="33"/>
        <w:spacing w:before="156" w:beforeLines="50" w:after="156" w:afterLines="50"/>
        <w:rPr>
          <w:rFonts w:ascii="黑体" w:hAnsi="黑体" w:eastAsia="黑体" w:cs="黑体"/>
          <w:color w:val="333333"/>
          <w:szCs w:val="21"/>
          <w:shd w:val="clear" w:color="auto" w:fill="FFFFFF"/>
          <w:lang w:val="en-US"/>
        </w:rPr>
      </w:pPr>
      <w:r>
        <w:rPr>
          <w:rFonts w:hint="eastAsia" w:ascii="黑体" w:hAnsi="黑体" w:eastAsia="黑体" w:cs="黑体"/>
          <w:color w:val="333333"/>
          <w:szCs w:val="21"/>
          <w:shd w:val="clear" w:color="auto" w:fill="FFFFFF"/>
          <w:lang w:val="en-US"/>
        </w:rPr>
        <w:t>11.5 持续伦理监督</w:t>
      </w:r>
    </w:p>
    <w:p w14:paraId="6B2B1F15">
      <w:pPr>
        <w:pStyle w:val="33"/>
        <w:spacing w:before="0" w:beforeLines="-2147483648" w:after="0" w:afterLines="-2147483648"/>
        <w:ind w:firstLine="420" w:firstLineChars="200"/>
        <w:rPr>
          <w:rFonts w:ascii="Helvetica" w:hAnsi="Helvetica" w:eastAsia="Helvetica" w:cs="Helvetica"/>
          <w:color w:val="333333"/>
          <w:szCs w:val="21"/>
          <w:shd w:val="clear" w:color="auto" w:fill="FFFFFF"/>
          <w:lang w:val="en-US"/>
        </w:rPr>
      </w:pPr>
      <w:r>
        <w:rPr>
          <w:rFonts w:hint="eastAsia" w:asciiTheme="minorEastAsia" w:hAnsiTheme="minorEastAsia" w:eastAsiaTheme="minorEastAsia" w:cstheme="minorEastAsia"/>
          <w:color w:val="333333"/>
          <w:szCs w:val="21"/>
          <w:shd w:val="clear" w:color="auto" w:fill="FFFFFF"/>
          <w:lang w:val="en-US"/>
        </w:rPr>
        <w:t>研究期间，伦理委员会可能要求定期报告，以确保研究继续遵守伦理标准。</w:t>
      </w:r>
    </w:p>
    <w:p w14:paraId="08575DC2">
      <w:pPr>
        <w:pStyle w:val="33"/>
        <w:ind w:firstLine="420" w:firstLineChars="200"/>
        <w:rPr>
          <w:rFonts w:ascii="Helvetica" w:hAnsi="Helvetica" w:eastAsia="Helvetica" w:cs="Helvetica"/>
          <w:color w:val="333333"/>
          <w:szCs w:val="21"/>
          <w:shd w:val="clear" w:color="auto" w:fill="FFFFFF"/>
          <w:lang w:val="en-US"/>
        </w:rPr>
      </w:pPr>
    </w:p>
    <w:p w14:paraId="34C8189F">
      <w:pPr>
        <w:rPr>
          <w:rFonts w:ascii="Helvetica" w:hAnsi="Helvetica" w:eastAsia="Helvetica" w:cs="Helvetica"/>
          <w:color w:val="333333"/>
          <w:szCs w:val="21"/>
          <w:shd w:val="clear" w:color="auto" w:fill="FFFFFF"/>
        </w:rPr>
      </w:pPr>
      <w:r>
        <w:rPr>
          <w:rFonts w:hint="eastAsia" w:ascii="Helvetica" w:hAnsi="Helvetica" w:eastAsia="Helvetica" w:cs="Helvetica"/>
          <w:color w:val="333333"/>
          <w:szCs w:val="21"/>
          <w:shd w:val="clear" w:color="auto" w:fill="FFFFFF"/>
        </w:rPr>
        <w:br w:type="page"/>
      </w:r>
    </w:p>
    <w:p w14:paraId="2AA5590A">
      <w:pPr>
        <w:pStyle w:val="118"/>
        <w:rPr>
          <w:sz w:val="21"/>
          <w:szCs w:val="21"/>
        </w:rPr>
      </w:pPr>
      <w:r>
        <w:rPr>
          <w:rFonts w:hint="eastAsia"/>
          <w:sz w:val="21"/>
          <w:szCs w:val="21"/>
        </w:rPr>
        <w:t>参考文献</w:t>
      </w:r>
    </w:p>
    <w:p w14:paraId="0A1D1493">
      <w:pPr>
        <w:pStyle w:val="156"/>
        <w:numPr>
          <w:ilvl w:val="0"/>
          <w:numId w:val="18"/>
        </w:numPr>
        <w:ind w:firstLine="420" w:firstLineChars="0"/>
      </w:pPr>
      <w:r>
        <w:rPr>
          <w:rFonts w:hint="eastAsia"/>
        </w:rPr>
        <w:t>[1]GB/T 39555-2020 智能实验室 仪器设备 气候、环境试验设备的数据接口</w:t>
      </w:r>
    </w:p>
    <w:p w14:paraId="18281662">
      <w:pPr>
        <w:pStyle w:val="156"/>
        <w:numPr>
          <w:ilvl w:val="0"/>
          <w:numId w:val="18"/>
        </w:numPr>
        <w:ind w:firstLine="420" w:firstLineChars="0"/>
      </w:pPr>
      <w:r>
        <w:rPr>
          <w:rFonts w:hint="eastAsia"/>
        </w:rPr>
        <w:t>[2]GB/T 39556-2020 智能实验室 仪器设备 通信要求</w:t>
      </w:r>
    </w:p>
    <w:p w14:paraId="47D9094D">
      <w:pPr>
        <w:pStyle w:val="156"/>
        <w:numPr>
          <w:ilvl w:val="0"/>
          <w:numId w:val="18"/>
        </w:numPr>
        <w:ind w:firstLine="420" w:firstLineChars="0"/>
      </w:pPr>
      <w:r>
        <w:rPr>
          <w:rFonts w:hint="eastAsia"/>
        </w:rPr>
        <w:t>[3]GB/T 40024-2021 实验室仪器及设备 分类方法</w:t>
      </w:r>
    </w:p>
    <w:p w14:paraId="21BE0DCB">
      <w:pPr>
        <w:pStyle w:val="33"/>
        <w:ind w:firstLine="420" w:firstLineChars="200"/>
        <w:rPr>
          <w:rFonts w:ascii="Helvetica" w:hAnsi="Helvetica" w:eastAsia="Helvetica" w:cs="Helvetica"/>
          <w:color w:val="333333"/>
          <w:szCs w:val="21"/>
          <w:shd w:val="clear" w:color="auto" w:fill="FFFFFF"/>
          <w:lang w:val="en-US"/>
        </w:rPr>
      </w:pPr>
    </w:p>
    <w:p w14:paraId="220FC454">
      <w:pPr>
        <w:pStyle w:val="135"/>
        <w:framePr w:wrap="around"/>
      </w:pPr>
      <w:r>
        <w:t>_________________________________</w:t>
      </w:r>
    </w:p>
    <w:sectPr>
      <w:pgSz w:w="11906" w:h="16838"/>
      <w:pgMar w:top="567" w:right="1134" w:bottom="1134" w:left="1418" w:header="1418" w:footer="1134" w:gutter="0"/>
      <w:pgNumType w:start="1"/>
      <w:cols w:space="425" w:num="1"/>
      <w:formProt w:val="0"/>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20B0604020202020204"/>
    <w:charset w:val="00"/>
    <w:family w:val="swiss"/>
    <w:pitch w:val="default"/>
    <w:sig w:usb0="00000000" w:usb1="00000000"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638A2">
    <w:pPr>
      <w:pStyle w:val="49"/>
    </w:pPr>
    <w:r>
      <w:fldChar w:fldCharType="begin"/>
    </w:r>
    <w:r>
      <w:instrText xml:space="preserve"> PAGE  \* MERGEFORMAT </w:instrText>
    </w:r>
    <w:r>
      <w:fldChar w:fldCharType="separate"/>
    </w:r>
    <w:r>
      <w:t>12</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112BA6">
    <w:pPr>
      <w:pStyle w:val="21"/>
    </w:pPr>
    <w:r>
      <w:t>T/SDASTC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A952887"/>
    <w:multiLevelType w:val="multilevel"/>
    <w:tmpl w:val="0A952887"/>
    <w:lvl w:ilvl="0" w:tentative="0">
      <w:start w:val="1"/>
      <w:numFmt w:val="decimal"/>
      <w:pStyle w:val="71"/>
      <w:suff w:val="nothing"/>
      <w:lvlText w:val="注%1："/>
      <w:lvlJc w:val="left"/>
      <w:pPr>
        <w:ind w:left="0" w:firstLine="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1">
    <w:nsid w:val="0F805D97"/>
    <w:multiLevelType w:val="multilevel"/>
    <w:tmpl w:val="0F805D97"/>
    <w:lvl w:ilvl="0" w:tentative="0">
      <w:start w:val="1"/>
      <w:numFmt w:val="none"/>
      <w:pStyle w:val="63"/>
      <w:suff w:val="nothing"/>
      <w:lvlText w:val="注%1："/>
      <w:lvlJc w:val="left"/>
      <w:pPr>
        <w:ind w:left="0" w:firstLine="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2">
    <w:nsid w:val="1FC91163"/>
    <w:multiLevelType w:val="multilevel"/>
    <w:tmpl w:val="1FC91163"/>
    <w:lvl w:ilvl="0" w:tentative="0">
      <w:start w:val="1"/>
      <w:numFmt w:val="decimal"/>
      <w:pStyle w:val="51"/>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48"/>
      <w:suff w:val="nothing"/>
      <w:lvlText w:val="%1.%2　"/>
      <w:lvlJc w:val="left"/>
      <w:pPr>
        <w:ind w:left="0" w:firstLine="0"/>
      </w:pPr>
      <w:rPr>
        <w:rFonts w:hint="eastAsia" w:ascii="黑体" w:hAnsi="Times New Roman" w:eastAsia="黑体" w:cs="Times New Roman"/>
        <w:b w:val="0"/>
        <w:bCs w:val="0"/>
        <w:i w:val="0"/>
        <w:iCs w:val="0"/>
        <w:caps w:val="0"/>
        <w:strike w:val="0"/>
        <w:dstrike w:val="0"/>
        <w:vanish w:val="0"/>
        <w:color w:val="000000"/>
        <w:spacing w:val="0"/>
        <w:kern w:val="0"/>
        <w:position w:val="0"/>
        <w:sz w:val="21"/>
        <w:szCs w:val="21"/>
        <w:u w:val="none"/>
        <w:vertAlign w:val="baseline"/>
      </w:rPr>
    </w:lvl>
    <w:lvl w:ilvl="2" w:tentative="0">
      <w:start w:val="1"/>
      <w:numFmt w:val="decimal"/>
      <w:pStyle w:val="52"/>
      <w:suff w:val="nothing"/>
      <w:lvlText w:val="%1.%2.%3　"/>
      <w:lvlJc w:val="left"/>
      <w:pPr>
        <w:ind w:left="0" w:firstLine="0"/>
      </w:pPr>
      <w:rPr>
        <w:rFonts w:hint="eastAsia" w:ascii="黑体" w:hAnsi="Times New Roman" w:eastAsia="黑体"/>
        <w:b w:val="0"/>
        <w:i w:val="0"/>
        <w:sz w:val="21"/>
      </w:rPr>
    </w:lvl>
    <w:lvl w:ilvl="3" w:tentative="0">
      <w:start w:val="1"/>
      <w:numFmt w:val="decimal"/>
      <w:pStyle w:val="57"/>
      <w:suff w:val="nothing"/>
      <w:lvlText w:val="%1.%2.%3.%4　"/>
      <w:lvlJc w:val="left"/>
      <w:pPr>
        <w:ind w:left="0" w:firstLine="0"/>
      </w:pPr>
      <w:rPr>
        <w:rFonts w:hint="eastAsia" w:ascii="黑体" w:hAnsi="Times New Roman" w:eastAsia="黑体"/>
        <w:b w:val="0"/>
        <w:i w:val="0"/>
        <w:sz w:val="21"/>
      </w:rPr>
    </w:lvl>
    <w:lvl w:ilvl="4" w:tentative="0">
      <w:start w:val="1"/>
      <w:numFmt w:val="decimal"/>
      <w:pStyle w:val="61"/>
      <w:suff w:val="nothing"/>
      <w:lvlText w:val="%1.%2.%3.%4.%5　"/>
      <w:lvlJc w:val="left"/>
      <w:pPr>
        <w:ind w:left="0" w:firstLine="0"/>
      </w:pPr>
      <w:rPr>
        <w:rFonts w:hint="eastAsia" w:ascii="黑体" w:hAnsi="Times New Roman" w:eastAsia="黑体"/>
        <w:b w:val="0"/>
        <w:i w:val="0"/>
        <w:sz w:val="21"/>
      </w:rPr>
    </w:lvl>
    <w:lvl w:ilvl="5" w:tentative="0">
      <w:start w:val="1"/>
      <w:numFmt w:val="decimal"/>
      <w:pStyle w:val="62"/>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3">
    <w:nsid w:val="24B435DB"/>
    <w:multiLevelType w:val="multilevel"/>
    <w:tmpl w:val="24B435DB"/>
    <w:lvl w:ilvl="0" w:tentative="0">
      <w:start w:val="1"/>
      <w:numFmt w:val="lowerLetter"/>
      <w:pStyle w:val="127"/>
      <w:suff w:val="nothing"/>
      <w:lvlText w:val="%1   "/>
      <w:lvlJc w:val="left"/>
      <w:pPr>
        <w:ind w:left="544" w:hanging="181"/>
      </w:pPr>
      <w:rPr>
        <w:rFonts w:hint="eastAsia" w:ascii="宋体" w:eastAsia="宋体"/>
        <w:b w:val="0"/>
        <w:i w:val="0"/>
        <w:sz w:val="18"/>
        <w:vertAlign w:val="superscript"/>
      </w:rPr>
    </w:lvl>
    <w:lvl w:ilvl="1" w:tentative="0">
      <w:start w:val="1"/>
      <w:numFmt w:val="lowerLetter"/>
      <w:lvlText w:val="%2"/>
      <w:lvlJc w:val="left"/>
      <w:pPr>
        <w:tabs>
          <w:tab w:val="left" w:pos="57"/>
        </w:tabs>
        <w:ind w:left="363" w:hanging="363"/>
      </w:pPr>
      <w:rPr>
        <w:rFonts w:hint="eastAsia"/>
      </w:rPr>
    </w:lvl>
    <w:lvl w:ilvl="2" w:tentative="0">
      <w:start w:val="1"/>
      <w:numFmt w:val="lowerRoman"/>
      <w:lvlText w:val="%3."/>
      <w:lvlJc w:val="right"/>
      <w:pPr>
        <w:tabs>
          <w:tab w:val="left" w:pos="57"/>
        </w:tabs>
        <w:ind w:left="363" w:hanging="363"/>
      </w:pPr>
      <w:rPr>
        <w:rFonts w:hint="eastAsia"/>
      </w:rPr>
    </w:lvl>
    <w:lvl w:ilvl="3" w:tentative="0">
      <w:start w:val="1"/>
      <w:numFmt w:val="decimal"/>
      <w:lvlText w:val="%4."/>
      <w:lvlJc w:val="left"/>
      <w:pPr>
        <w:tabs>
          <w:tab w:val="left" w:pos="57"/>
        </w:tabs>
        <w:ind w:left="363" w:hanging="363"/>
      </w:pPr>
      <w:rPr>
        <w:rFonts w:hint="eastAsia"/>
      </w:rPr>
    </w:lvl>
    <w:lvl w:ilvl="4" w:tentative="0">
      <w:start w:val="1"/>
      <w:numFmt w:val="lowerLetter"/>
      <w:lvlText w:val="%5)"/>
      <w:lvlJc w:val="left"/>
      <w:pPr>
        <w:tabs>
          <w:tab w:val="left" w:pos="57"/>
        </w:tabs>
        <w:ind w:left="363" w:hanging="363"/>
      </w:pPr>
      <w:rPr>
        <w:rFonts w:hint="eastAsia"/>
      </w:rPr>
    </w:lvl>
    <w:lvl w:ilvl="5" w:tentative="0">
      <w:start w:val="1"/>
      <w:numFmt w:val="lowerRoman"/>
      <w:lvlText w:val="%6."/>
      <w:lvlJc w:val="right"/>
      <w:pPr>
        <w:tabs>
          <w:tab w:val="left" w:pos="57"/>
        </w:tabs>
        <w:ind w:left="363" w:hanging="363"/>
      </w:pPr>
      <w:rPr>
        <w:rFonts w:hint="eastAsia"/>
      </w:rPr>
    </w:lvl>
    <w:lvl w:ilvl="6" w:tentative="0">
      <w:start w:val="1"/>
      <w:numFmt w:val="decimal"/>
      <w:lvlText w:val="%7."/>
      <w:lvlJc w:val="left"/>
      <w:pPr>
        <w:tabs>
          <w:tab w:val="left" w:pos="57"/>
        </w:tabs>
        <w:ind w:left="363" w:hanging="363"/>
      </w:pPr>
      <w:rPr>
        <w:rFonts w:hint="eastAsia"/>
      </w:rPr>
    </w:lvl>
    <w:lvl w:ilvl="7" w:tentative="0">
      <w:start w:val="1"/>
      <w:numFmt w:val="lowerLetter"/>
      <w:lvlText w:val="%8)"/>
      <w:lvlJc w:val="left"/>
      <w:pPr>
        <w:tabs>
          <w:tab w:val="left" w:pos="57"/>
        </w:tabs>
        <w:ind w:left="363" w:hanging="363"/>
      </w:pPr>
      <w:rPr>
        <w:rFonts w:hint="eastAsia"/>
      </w:rPr>
    </w:lvl>
    <w:lvl w:ilvl="8" w:tentative="0">
      <w:start w:val="1"/>
      <w:numFmt w:val="lowerRoman"/>
      <w:lvlText w:val="%9."/>
      <w:lvlJc w:val="right"/>
      <w:pPr>
        <w:tabs>
          <w:tab w:val="left" w:pos="57"/>
        </w:tabs>
        <w:ind w:left="363" w:hanging="363"/>
      </w:pPr>
      <w:rPr>
        <w:rFonts w:hint="eastAsia"/>
      </w:rPr>
    </w:lvl>
  </w:abstractNum>
  <w:abstractNum w:abstractNumId="4">
    <w:nsid w:val="29707437"/>
    <w:multiLevelType w:val="multilevel"/>
    <w:tmpl w:val="29707437"/>
    <w:lvl w:ilvl="0" w:tentative="0">
      <w:start w:val="1"/>
      <w:numFmt w:val="none"/>
      <w:pStyle w:val="70"/>
      <w:suff w:val="nothing"/>
      <w:lvlText w:val="%1注："/>
      <w:lvlJc w:val="left"/>
      <w:pPr>
        <w:ind w:left="0" w:firstLine="363"/>
      </w:pPr>
      <w:rPr>
        <w:rFonts w:hint="eastAsia" w:ascii="黑体" w:eastAsia="黑体"/>
        <w:b w:val="0"/>
        <w:i w:val="0"/>
        <w:sz w:val="18"/>
        <w:szCs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5">
    <w:nsid w:val="2A8F7113"/>
    <w:multiLevelType w:val="multilevel"/>
    <w:tmpl w:val="2A8F7113"/>
    <w:lvl w:ilvl="0" w:tentative="0">
      <w:start w:val="1"/>
      <w:numFmt w:val="upperLetter"/>
      <w:pStyle w:val="104"/>
      <w:suff w:val="space"/>
      <w:lvlText w:val="%1"/>
      <w:lvlJc w:val="left"/>
      <w:pPr>
        <w:ind w:left="623" w:hanging="425"/>
      </w:pPr>
      <w:rPr>
        <w:rFonts w:hint="eastAsia"/>
      </w:rPr>
    </w:lvl>
    <w:lvl w:ilvl="1" w:tentative="0">
      <w:start w:val="1"/>
      <w:numFmt w:val="decimal"/>
      <w:pStyle w:val="105"/>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6">
    <w:nsid w:val="2C5917C3"/>
    <w:multiLevelType w:val="multilevel"/>
    <w:tmpl w:val="2C5917C3"/>
    <w:lvl w:ilvl="0" w:tentative="0">
      <w:start w:val="1"/>
      <w:numFmt w:val="none"/>
      <w:pStyle w:val="54"/>
      <w:suff w:val="nothing"/>
      <w:lvlText w:val="%1——"/>
      <w:lvlJc w:val="left"/>
      <w:pPr>
        <w:ind w:left="833" w:hanging="408"/>
      </w:pPr>
      <w:rPr>
        <w:rFonts w:hint="eastAsia"/>
      </w:rPr>
    </w:lvl>
    <w:lvl w:ilvl="1" w:tentative="0">
      <w:start w:val="1"/>
      <w:numFmt w:val="bullet"/>
      <w:pStyle w:val="55"/>
      <w:lvlText w:val=""/>
      <w:lvlJc w:val="left"/>
      <w:pPr>
        <w:tabs>
          <w:tab w:val="left" w:pos="760"/>
        </w:tabs>
        <w:ind w:left="1264" w:hanging="413"/>
      </w:pPr>
      <w:rPr>
        <w:rFonts w:hint="default" w:ascii="Symbol" w:hAnsi="Symbol"/>
        <w:color w:val="auto"/>
      </w:rPr>
    </w:lvl>
    <w:lvl w:ilvl="2" w:tentative="0">
      <w:start w:val="1"/>
      <w:numFmt w:val="bullet"/>
      <w:pStyle w:val="66"/>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7">
    <w:nsid w:val="3D733618"/>
    <w:multiLevelType w:val="multilevel"/>
    <w:tmpl w:val="3D733618"/>
    <w:lvl w:ilvl="0" w:tentative="0">
      <w:start w:val="1"/>
      <w:numFmt w:val="decimal"/>
      <w:pStyle w:val="27"/>
      <w:lvlText w:val="%1)"/>
      <w:lvlJc w:val="left"/>
      <w:pPr>
        <w:tabs>
          <w:tab w:val="left" w:pos="0"/>
        </w:tabs>
        <w:ind w:left="720" w:hanging="357"/>
      </w:pPr>
      <w:rPr>
        <w:rFonts w:hint="eastAsia"/>
      </w:rPr>
    </w:lvl>
    <w:lvl w:ilvl="1" w:tentative="0">
      <w:start w:val="1"/>
      <w:numFmt w:val="lowerLetter"/>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8">
    <w:nsid w:val="44C50F90"/>
    <w:multiLevelType w:val="multilevel"/>
    <w:tmpl w:val="44C50F90"/>
    <w:lvl w:ilvl="0" w:tentative="0">
      <w:start w:val="1"/>
      <w:numFmt w:val="lowerLetter"/>
      <w:pStyle w:val="65"/>
      <w:lvlText w:val="%1)"/>
      <w:lvlJc w:val="left"/>
      <w:pPr>
        <w:tabs>
          <w:tab w:val="left" w:pos="839"/>
        </w:tabs>
        <w:ind w:left="839" w:hanging="419"/>
      </w:pPr>
      <w:rPr>
        <w:rFonts w:hint="eastAsia" w:ascii="宋体" w:hAnsi="宋体" w:eastAsia="宋体"/>
        <w:b w:val="0"/>
        <w:i w:val="0"/>
        <w:sz w:val="20"/>
        <w:szCs w:val="21"/>
      </w:rPr>
    </w:lvl>
    <w:lvl w:ilvl="1" w:tentative="0">
      <w:start w:val="1"/>
      <w:numFmt w:val="decimal"/>
      <w:pStyle w:val="60"/>
      <w:lvlText w:val="%2)"/>
      <w:lvlJc w:val="left"/>
      <w:pPr>
        <w:tabs>
          <w:tab w:val="left" w:pos="1259"/>
        </w:tabs>
        <w:ind w:left="1259" w:hanging="420"/>
      </w:pPr>
      <w:rPr>
        <w:rFonts w:hint="eastAsia" w:ascii="宋体" w:hAnsi="宋体" w:eastAsia="宋体" w:cs="Times New Roman"/>
        <w:b w:val="0"/>
        <w:bCs w:val="0"/>
        <w:i w:val="0"/>
        <w:iCs w:val="0"/>
        <w:caps w:val="0"/>
        <w:strike w:val="0"/>
        <w:dstrike w:val="0"/>
        <w:vanish w:val="0"/>
        <w:color w:val="000000"/>
        <w:spacing w:val="0"/>
        <w:kern w:val="0"/>
        <w:position w:val="0"/>
        <w:sz w:val="20"/>
        <w:szCs w:val="21"/>
        <w:u w:val="none"/>
        <w:vertAlign w:val="baseline"/>
      </w:rPr>
    </w:lvl>
    <w:lvl w:ilvl="2" w:tentative="0">
      <w:start w:val="1"/>
      <w:numFmt w:val="decimal"/>
      <w:pStyle w:val="67"/>
      <w:lvlText w:val="(%3)"/>
      <w:lvlJc w:val="left"/>
      <w:pPr>
        <w:tabs>
          <w:tab w:val="left" w:pos="0"/>
        </w:tabs>
        <w:ind w:left="1678" w:hanging="419"/>
      </w:pPr>
      <w:rPr>
        <w:rFonts w:hint="eastAsia" w:ascii="宋体" w:hAnsi="宋体" w:eastAsia="宋体"/>
        <w:b w:val="0"/>
        <w:bCs w:val="0"/>
        <w:i w:val="0"/>
        <w:iCs w:val="0"/>
        <w:caps w:val="0"/>
        <w:smallCaps w:val="0"/>
        <w:strike w:val="0"/>
        <w:dstrike w:val="0"/>
        <w:vanish w:val="0"/>
        <w:color w:val="000000"/>
        <w:spacing w:val="0"/>
        <w:kern w:val="0"/>
        <w:position w:val="0"/>
        <w:sz w:val="20"/>
        <w:szCs w:val="21"/>
        <w:u w:val="none"/>
        <w:vertAlign w:val="baseline"/>
      </w:rPr>
    </w:lvl>
    <w:lvl w:ilvl="3" w:tentative="0">
      <w:start w:val="1"/>
      <w:numFmt w:val="decimal"/>
      <w:lvlText w:val="%4."/>
      <w:lvlJc w:val="left"/>
      <w:pPr>
        <w:tabs>
          <w:tab w:val="left" w:pos="2098"/>
        </w:tabs>
        <w:ind w:left="2098" w:hanging="420"/>
      </w:pPr>
      <w:rPr>
        <w:rFonts w:hint="eastAsia" w:ascii="黑体" w:hAnsi="Times New Roman" w:eastAsia="黑体"/>
        <w:b w:val="0"/>
        <w:i w:val="0"/>
        <w:sz w:val="21"/>
      </w:rPr>
    </w:lvl>
    <w:lvl w:ilvl="4" w:tentative="0">
      <w:start w:val="1"/>
      <w:numFmt w:val="lowerLetter"/>
      <w:lvlText w:val="%5)"/>
      <w:lvlJc w:val="left"/>
      <w:pPr>
        <w:tabs>
          <w:tab w:val="left" w:pos="2517"/>
        </w:tabs>
        <w:ind w:left="2517" w:hanging="419"/>
      </w:pPr>
      <w:rPr>
        <w:rFonts w:hint="eastAsia" w:ascii="黑体" w:hAnsi="Times New Roman" w:eastAsia="黑体"/>
        <w:b w:val="0"/>
        <w:i w:val="0"/>
        <w:sz w:val="21"/>
      </w:rPr>
    </w:lvl>
    <w:lvl w:ilvl="5" w:tentative="0">
      <w:start w:val="1"/>
      <w:numFmt w:val="lowerRoman"/>
      <w:lvlText w:val="%6."/>
      <w:lvlJc w:val="right"/>
      <w:pPr>
        <w:tabs>
          <w:tab w:val="left" w:pos="2942"/>
        </w:tabs>
        <w:ind w:left="2937" w:hanging="420"/>
      </w:pPr>
      <w:rPr>
        <w:rFonts w:hint="eastAsia" w:ascii="黑体" w:hAnsi="Times New Roman" w:eastAsia="黑体"/>
        <w:b w:val="0"/>
        <w:i w:val="0"/>
        <w:sz w:val="21"/>
      </w:rPr>
    </w:lvl>
    <w:lvl w:ilvl="6" w:tentative="0">
      <w:start w:val="1"/>
      <w:numFmt w:val="decimal"/>
      <w:lvlText w:val="%7."/>
      <w:lvlJc w:val="left"/>
      <w:pPr>
        <w:tabs>
          <w:tab w:val="left" w:pos="3362"/>
        </w:tabs>
        <w:ind w:left="3356" w:hanging="414"/>
      </w:pPr>
      <w:rPr>
        <w:rFonts w:hint="eastAsia" w:ascii="黑体" w:hAnsi="Times New Roman" w:eastAsia="黑体"/>
        <w:b w:val="0"/>
        <w:i w:val="0"/>
        <w:sz w:val="21"/>
      </w:rPr>
    </w:lvl>
    <w:lvl w:ilvl="7" w:tentative="0">
      <w:start w:val="1"/>
      <w:numFmt w:val="lowerLetter"/>
      <w:lvlText w:val="%8)"/>
      <w:lvlJc w:val="left"/>
      <w:pPr>
        <w:tabs>
          <w:tab w:val="left" w:pos="3781"/>
        </w:tabs>
        <w:ind w:left="3776" w:hanging="414"/>
      </w:pPr>
      <w:rPr>
        <w:rFonts w:hint="eastAsia"/>
      </w:rPr>
    </w:lvl>
    <w:lvl w:ilvl="8" w:tentative="0">
      <w:start w:val="1"/>
      <w:numFmt w:val="lowerRoman"/>
      <w:lvlText w:val="%9."/>
      <w:lvlJc w:val="right"/>
      <w:pPr>
        <w:tabs>
          <w:tab w:val="left" w:pos="4201"/>
        </w:tabs>
        <w:ind w:left="4201" w:hanging="420"/>
      </w:pPr>
      <w:rPr>
        <w:rFonts w:hint="eastAsia"/>
      </w:rPr>
    </w:lvl>
  </w:abstractNum>
  <w:abstractNum w:abstractNumId="9">
    <w:nsid w:val="520F62E9"/>
    <w:multiLevelType w:val="multilevel"/>
    <w:tmpl w:val="520F62E9"/>
    <w:lvl w:ilvl="0" w:tentative="0">
      <w:start w:val="1"/>
      <w:numFmt w:val="decimal"/>
      <w:pStyle w:val="134"/>
      <w:suff w:val="nothing"/>
      <w:lvlText w:val="图%1　"/>
      <w:lvlJc w:val="left"/>
      <w:pPr>
        <w:ind w:left="0" w:firstLine="0"/>
      </w:pPr>
      <w:rPr>
        <w:rFonts w:hint="eastAsia"/>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0">
    <w:nsid w:val="5603797C"/>
    <w:multiLevelType w:val="multilevel"/>
    <w:tmpl w:val="5603797C"/>
    <w:lvl w:ilvl="0" w:tentative="0">
      <w:start w:val="1"/>
      <w:numFmt w:val="upperLetter"/>
      <w:pStyle w:val="159"/>
      <w:suff w:val="space"/>
      <w:lvlText w:val="%1"/>
      <w:lvlJc w:val="left"/>
      <w:pPr>
        <w:ind w:left="425" w:hanging="425"/>
      </w:pPr>
      <w:rPr>
        <w:rFonts w:hint="eastAsia"/>
      </w:rPr>
    </w:lvl>
    <w:lvl w:ilvl="1" w:tentative="0">
      <w:start w:val="1"/>
      <w:numFmt w:val="decimal"/>
      <w:pStyle w:val="157"/>
      <w:suff w:val="space"/>
      <w:lvlText w:val="表%1.%2"/>
      <w:lvlJc w:val="center"/>
      <w:pPr>
        <w:ind w:left="6947" w:firstLine="0"/>
      </w:pPr>
      <w:rPr>
        <w:rFonts w:hint="eastAsia" w:ascii="黑体" w:eastAsia="黑体"/>
        <w:sz w:val="21"/>
        <w:lang w:val="en-US"/>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1">
    <w:nsid w:val="5E63562F"/>
    <w:multiLevelType w:val="multilevel"/>
    <w:tmpl w:val="5E63562F"/>
    <w:lvl w:ilvl="0" w:tentative="0">
      <w:start w:val="1"/>
      <w:numFmt w:val="decimal"/>
      <w:pStyle w:val="64"/>
      <w:suff w:val="nothing"/>
      <w:lvlText w:val="注%1："/>
      <w:lvlJc w:val="left"/>
      <w:pPr>
        <w:ind w:left="0" w:firstLine="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12">
    <w:nsid w:val="60B55DC2"/>
    <w:multiLevelType w:val="multilevel"/>
    <w:tmpl w:val="60B55DC2"/>
    <w:lvl w:ilvl="0" w:tentative="0">
      <w:start w:val="1"/>
      <w:numFmt w:val="upperLetter"/>
      <w:pStyle w:val="92"/>
      <w:lvlText w:val="%1"/>
      <w:lvlJc w:val="left"/>
      <w:pPr>
        <w:tabs>
          <w:tab w:val="left" w:pos="0"/>
        </w:tabs>
        <w:ind w:left="0" w:hanging="425"/>
      </w:pPr>
      <w:rPr>
        <w:rFonts w:hint="eastAsia"/>
      </w:rPr>
    </w:lvl>
    <w:lvl w:ilvl="1" w:tentative="0">
      <w:start w:val="1"/>
      <w:numFmt w:val="decimal"/>
      <w:pStyle w:val="93"/>
      <w:suff w:val="nothing"/>
      <w:lvlText w:val="表%1.%2　"/>
      <w:lvlJc w:val="left"/>
      <w:pPr>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13">
    <w:nsid w:val="63404DBE"/>
    <w:multiLevelType w:val="multilevel"/>
    <w:tmpl w:val="63404DBE"/>
    <w:lvl w:ilvl="0" w:tentative="0">
      <w:start w:val="1"/>
      <w:numFmt w:val="none"/>
      <w:pStyle w:val="58"/>
      <w:suff w:val="nothing"/>
      <w:lvlText w:val="%1示例："/>
      <w:lvlJc w:val="left"/>
      <w:pPr>
        <w:ind w:left="0" w:firstLine="363"/>
      </w:pPr>
      <w:rPr>
        <w:rFonts w:hint="eastAsia" w:ascii="黑体" w:eastAsia="黑体"/>
        <w:b w:val="0"/>
        <w:i w:val="0"/>
        <w:sz w:val="18"/>
        <w:szCs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14">
    <w:nsid w:val="63AF7EBF"/>
    <w:multiLevelType w:val="multilevel"/>
    <w:tmpl w:val="63AF7EBF"/>
    <w:lvl w:ilvl="0" w:tentative="0">
      <w:start w:val="1"/>
      <w:numFmt w:val="decimal"/>
      <w:pStyle w:val="132"/>
      <w:suff w:val="nothing"/>
      <w:lvlText w:val="表%1　"/>
      <w:lvlJc w:val="left"/>
      <w:pPr>
        <w:ind w:left="0" w:firstLine="0"/>
      </w:pPr>
      <w:rPr>
        <w:rFonts w:hint="eastAsia"/>
      </w:rPr>
    </w:lvl>
    <w:lvl w:ilvl="1" w:tentative="0">
      <w:start w:val="1"/>
      <w:numFmt w:val="decimal"/>
      <w:lvlText w:val="%1.%2"/>
      <w:lvlJc w:val="left"/>
      <w:pPr>
        <w:ind w:left="992" w:hanging="567"/>
      </w:pPr>
      <w:rPr>
        <w:rFonts w:hint="eastAsia"/>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5">
    <w:nsid w:val="657D3FBC"/>
    <w:multiLevelType w:val="multilevel"/>
    <w:tmpl w:val="657D3FBC"/>
    <w:lvl w:ilvl="0" w:tentative="0">
      <w:start w:val="1"/>
      <w:numFmt w:val="upperLetter"/>
      <w:pStyle w:val="90"/>
      <w:suff w:val="nothing"/>
      <w:lvlText w:val="附　录　%1"/>
      <w:lvlJc w:val="left"/>
      <w:pPr>
        <w:ind w:left="0" w:firstLine="0"/>
      </w:pPr>
      <w:rPr>
        <w:rFonts w:hint="eastAsia" w:ascii="黑体" w:hAnsi="Times New Roman" w:eastAsia="黑体"/>
        <w:b w:val="0"/>
        <w:i w:val="0"/>
        <w:spacing w:val="0"/>
        <w:w w:val="100"/>
        <w:sz w:val="21"/>
      </w:rPr>
    </w:lvl>
    <w:lvl w:ilvl="1" w:tentative="0">
      <w:start w:val="1"/>
      <w:numFmt w:val="decimal"/>
      <w:pStyle w:val="108"/>
      <w:suff w:val="nothing"/>
      <w:lvlText w:val="%1.%2　"/>
      <w:lvlJc w:val="left"/>
      <w:pPr>
        <w:ind w:left="0" w:firstLine="0"/>
      </w:pPr>
      <w:rPr>
        <w:rFonts w:hint="eastAsia" w:ascii="黑体" w:hAnsi="Times New Roman" w:eastAsia="黑体"/>
        <w:b w:val="0"/>
        <w:i w:val="0"/>
        <w:snapToGrid/>
        <w:spacing w:val="0"/>
        <w:w w:val="100"/>
        <w:kern w:val="21"/>
        <w:sz w:val="21"/>
      </w:rPr>
    </w:lvl>
    <w:lvl w:ilvl="2" w:tentative="0">
      <w:start w:val="1"/>
      <w:numFmt w:val="decimal"/>
      <w:pStyle w:val="109"/>
      <w:suff w:val="nothing"/>
      <w:lvlText w:val="%1.%2.%3　"/>
      <w:lvlJc w:val="left"/>
      <w:pPr>
        <w:ind w:left="0" w:firstLine="0"/>
      </w:pPr>
      <w:rPr>
        <w:rFonts w:hint="eastAsia" w:ascii="黑体" w:hAnsi="Times New Roman" w:eastAsia="黑体"/>
        <w:b w:val="0"/>
        <w:i w:val="0"/>
        <w:sz w:val="21"/>
      </w:rPr>
    </w:lvl>
    <w:lvl w:ilvl="3" w:tentative="0">
      <w:start w:val="1"/>
      <w:numFmt w:val="decimal"/>
      <w:pStyle w:val="94"/>
      <w:suff w:val="nothing"/>
      <w:lvlText w:val="%1.%2.%3.%4　"/>
      <w:lvlJc w:val="left"/>
      <w:pPr>
        <w:ind w:left="0" w:firstLine="0"/>
      </w:pPr>
      <w:rPr>
        <w:rFonts w:hint="eastAsia" w:ascii="黑体" w:hAnsi="Times New Roman" w:eastAsia="黑体"/>
        <w:b w:val="0"/>
        <w:i w:val="0"/>
        <w:sz w:val="21"/>
      </w:rPr>
    </w:lvl>
    <w:lvl w:ilvl="4" w:tentative="0">
      <w:start w:val="1"/>
      <w:numFmt w:val="decimal"/>
      <w:pStyle w:val="99"/>
      <w:suff w:val="nothing"/>
      <w:lvlText w:val="%1.%2.%3.%4.%5　"/>
      <w:lvlJc w:val="left"/>
      <w:pPr>
        <w:ind w:left="0" w:firstLine="0"/>
      </w:pPr>
      <w:rPr>
        <w:rFonts w:hint="eastAsia" w:ascii="黑体" w:hAnsi="Times New Roman" w:eastAsia="黑体"/>
        <w:b w:val="0"/>
        <w:i w:val="0"/>
        <w:sz w:val="21"/>
      </w:rPr>
    </w:lvl>
    <w:lvl w:ilvl="5" w:tentative="0">
      <w:start w:val="1"/>
      <w:numFmt w:val="decimal"/>
      <w:pStyle w:val="102"/>
      <w:suff w:val="nothing"/>
      <w:lvlText w:val="%1.%2.%3.%4.%5.%6　"/>
      <w:lvlJc w:val="left"/>
      <w:pPr>
        <w:ind w:left="0" w:firstLine="0"/>
      </w:pPr>
      <w:rPr>
        <w:rFonts w:hint="eastAsia" w:ascii="黑体" w:hAnsi="Times New Roman" w:eastAsia="黑体"/>
        <w:b w:val="0"/>
        <w:i w:val="0"/>
        <w:sz w:val="21"/>
      </w:rPr>
    </w:lvl>
    <w:lvl w:ilvl="6" w:tentative="0">
      <w:start w:val="1"/>
      <w:numFmt w:val="decimal"/>
      <w:pStyle w:val="106"/>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6">
    <w:nsid w:val="6AB870ED"/>
    <w:multiLevelType w:val="multilevel"/>
    <w:tmpl w:val="6AB870ED"/>
    <w:lvl w:ilvl="0" w:tentative="0">
      <w:start w:val="1"/>
      <w:numFmt w:val="decimal"/>
      <w:pStyle w:val="68"/>
      <w:suff w:val="nothing"/>
      <w:lvlText w:val="示例%1："/>
      <w:lvlJc w:val="left"/>
      <w:pPr>
        <w:ind w:left="0" w:firstLine="363"/>
      </w:pPr>
      <w:rPr>
        <w:rFonts w:hint="eastAsia" w:ascii="黑体" w:eastAsia="黑体"/>
        <w:b w:val="0"/>
        <w:i w:val="0"/>
        <w:sz w:val="18"/>
        <w:szCs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17">
    <w:nsid w:val="6CEA2025"/>
    <w:multiLevelType w:val="multilevel"/>
    <w:tmpl w:val="6CEA2025"/>
    <w:lvl w:ilvl="0" w:tentative="0">
      <w:start w:val="1"/>
      <w:numFmt w:val="none"/>
      <w:pStyle w:val="154"/>
      <w:suff w:val="nothing"/>
      <w:lvlText w:val="%1"/>
      <w:lvlJc w:val="left"/>
      <w:pPr>
        <w:ind w:left="0" w:firstLine="0"/>
      </w:pPr>
      <w:rPr>
        <w:rFonts w:hint="eastAsia"/>
      </w:rPr>
    </w:lvl>
    <w:lvl w:ilvl="1" w:tentative="0">
      <w:start w:val="1"/>
      <w:numFmt w:val="decimal"/>
      <w:pStyle w:val="152"/>
      <w:suff w:val="nothing"/>
      <w:lvlText w:val="%1%2　"/>
      <w:lvlJc w:val="left"/>
      <w:pPr>
        <w:ind w:left="0" w:firstLine="0"/>
      </w:pPr>
      <w:rPr>
        <w:rFonts w:hint="eastAsia" w:ascii="黑体" w:eastAsia="黑体"/>
        <w:b w:val="0"/>
        <w:i w:val="0"/>
        <w:color w:val="auto"/>
        <w:sz w:val="21"/>
      </w:rPr>
    </w:lvl>
    <w:lvl w:ilvl="2" w:tentative="0">
      <w:start w:val="1"/>
      <w:numFmt w:val="decimal"/>
      <w:pStyle w:val="153"/>
      <w:suff w:val="nothing"/>
      <w:lvlText w:val="%1%2.%3　"/>
      <w:lvlJc w:val="left"/>
      <w:pPr>
        <w:ind w:left="0"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rPr>
    </w:lvl>
    <w:lvl w:ilvl="3" w:tentative="0">
      <w:start w:val="1"/>
      <w:numFmt w:val="decimal"/>
      <w:pStyle w:val="148"/>
      <w:suff w:val="nothing"/>
      <w:lvlText w:val="%1%2.%3.%4　"/>
      <w:lvlJc w:val="left"/>
      <w:pPr>
        <w:ind w:left="0" w:firstLine="0"/>
      </w:pPr>
      <w:rPr>
        <w:rFonts w:hint="eastAsia" w:ascii="黑体" w:eastAsia="黑体"/>
        <w:b w:val="0"/>
        <w:i w:val="0"/>
        <w:sz w:val="21"/>
      </w:rPr>
    </w:lvl>
    <w:lvl w:ilvl="4" w:tentative="0">
      <w:start w:val="1"/>
      <w:numFmt w:val="decimal"/>
      <w:pStyle w:val="149"/>
      <w:suff w:val="nothing"/>
      <w:lvlText w:val="%1%2.%3.%4.%5　"/>
      <w:lvlJc w:val="left"/>
      <w:pPr>
        <w:ind w:left="0" w:firstLine="0"/>
      </w:pPr>
      <w:rPr>
        <w:rFonts w:hint="eastAsia" w:ascii="黑体" w:eastAsia="黑体"/>
        <w:b w:val="0"/>
        <w:i w:val="0"/>
        <w:sz w:val="21"/>
      </w:rPr>
    </w:lvl>
    <w:lvl w:ilvl="5" w:tentative="0">
      <w:start w:val="1"/>
      <w:numFmt w:val="decimal"/>
      <w:pStyle w:val="150"/>
      <w:suff w:val="nothing"/>
      <w:lvlText w:val="%1%2.%3.%4.%5.%6　"/>
      <w:lvlJc w:val="left"/>
      <w:pPr>
        <w:ind w:left="0" w:firstLine="0"/>
      </w:pPr>
      <w:rPr>
        <w:rFonts w:hint="eastAsia" w:ascii="黑体" w:eastAsia="黑体"/>
        <w:b w:val="0"/>
        <w:i w:val="0"/>
        <w:sz w:val="21"/>
      </w:rPr>
    </w:lvl>
    <w:lvl w:ilvl="6" w:tentative="0">
      <w:start w:val="1"/>
      <w:numFmt w:val="decimal"/>
      <w:pStyle w:val="151"/>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8">
    <w:nsid w:val="6D6C07CD"/>
    <w:multiLevelType w:val="multilevel"/>
    <w:tmpl w:val="6D6C07CD"/>
    <w:lvl w:ilvl="0" w:tentative="0">
      <w:start w:val="1"/>
      <w:numFmt w:val="lowerLetter"/>
      <w:pStyle w:val="111"/>
      <w:lvlText w:val="%1)"/>
      <w:lvlJc w:val="left"/>
      <w:pPr>
        <w:tabs>
          <w:tab w:val="left" w:pos="839"/>
        </w:tabs>
        <w:ind w:left="839" w:hanging="419"/>
      </w:pPr>
      <w:rPr>
        <w:rFonts w:hint="eastAsia" w:ascii="宋体" w:eastAsia="宋体"/>
        <w:b w:val="0"/>
        <w:i w:val="0"/>
        <w:sz w:val="21"/>
      </w:rPr>
    </w:lvl>
    <w:lvl w:ilvl="1" w:tentative="0">
      <w:start w:val="1"/>
      <w:numFmt w:val="decimal"/>
      <w:pStyle w:val="101"/>
      <w:lvlText w:val="%2)"/>
      <w:lvlJc w:val="left"/>
      <w:pPr>
        <w:tabs>
          <w:tab w:val="left" w:pos="840"/>
        </w:tabs>
        <w:ind w:left="839" w:hanging="419"/>
      </w:pPr>
      <w:rPr>
        <w:rFonts w:hint="eastAsia" w:ascii="宋体" w:eastAsia="宋体"/>
        <w:b w:val="0"/>
        <w:i w:val="0"/>
        <w:sz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num w:numId="1">
    <w:abstractNumId w:val="7"/>
  </w:num>
  <w:num w:numId="2">
    <w:abstractNumId w:val="2"/>
  </w:num>
  <w:num w:numId="3">
    <w:abstractNumId w:val="6"/>
  </w:num>
  <w:num w:numId="4">
    <w:abstractNumId w:val="13"/>
  </w:num>
  <w:num w:numId="5">
    <w:abstractNumId w:val="8"/>
  </w:num>
  <w:num w:numId="6">
    <w:abstractNumId w:val="1"/>
  </w:num>
  <w:num w:numId="7">
    <w:abstractNumId w:val="11"/>
  </w:num>
  <w:num w:numId="8">
    <w:abstractNumId w:val="16"/>
  </w:num>
  <w:num w:numId="9">
    <w:abstractNumId w:val="4"/>
  </w:num>
  <w:num w:numId="10">
    <w:abstractNumId w:val="0"/>
  </w:num>
  <w:num w:numId="11">
    <w:abstractNumId w:val="15"/>
  </w:num>
  <w:num w:numId="12">
    <w:abstractNumId w:val="12"/>
  </w:num>
  <w:num w:numId="13">
    <w:abstractNumId w:val="18"/>
  </w:num>
  <w:num w:numId="14">
    <w:abstractNumId w:val="5"/>
  </w:num>
  <w:num w:numId="15">
    <w:abstractNumId w:val="3"/>
  </w:num>
  <w:num w:numId="16">
    <w:abstractNumId w:val="14"/>
  </w:num>
  <w:num w:numId="17">
    <w:abstractNumId w:val="9"/>
  </w:num>
  <w:num w:numId="18">
    <w:abstractNumId w:val="17"/>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Y3ZjBiYTM5YzYxNDE1MjhiM2EzOWIzOGY4MmQ4N2MifQ=="/>
  </w:docVars>
  <w:rsids>
    <w:rsidRoot w:val="00035925"/>
    <w:rsid w:val="00000244"/>
    <w:rsid w:val="00000BB3"/>
    <w:rsid w:val="0000185F"/>
    <w:rsid w:val="00004B91"/>
    <w:rsid w:val="00004E32"/>
    <w:rsid w:val="0000586F"/>
    <w:rsid w:val="00013D86"/>
    <w:rsid w:val="00013E02"/>
    <w:rsid w:val="0002143C"/>
    <w:rsid w:val="00025A65"/>
    <w:rsid w:val="00026C31"/>
    <w:rsid w:val="00027280"/>
    <w:rsid w:val="000320A7"/>
    <w:rsid w:val="000325EA"/>
    <w:rsid w:val="00035925"/>
    <w:rsid w:val="00036C2C"/>
    <w:rsid w:val="00043F89"/>
    <w:rsid w:val="00045A7C"/>
    <w:rsid w:val="00055371"/>
    <w:rsid w:val="00056A24"/>
    <w:rsid w:val="00057CE5"/>
    <w:rsid w:val="000607A3"/>
    <w:rsid w:val="000657F7"/>
    <w:rsid w:val="00067CDF"/>
    <w:rsid w:val="0007031A"/>
    <w:rsid w:val="000703F8"/>
    <w:rsid w:val="000720E9"/>
    <w:rsid w:val="00074FBE"/>
    <w:rsid w:val="0007762A"/>
    <w:rsid w:val="00081F6E"/>
    <w:rsid w:val="00083A09"/>
    <w:rsid w:val="0009005E"/>
    <w:rsid w:val="000918A9"/>
    <w:rsid w:val="00092001"/>
    <w:rsid w:val="00092618"/>
    <w:rsid w:val="00092857"/>
    <w:rsid w:val="00092BD8"/>
    <w:rsid w:val="000964C7"/>
    <w:rsid w:val="000979D9"/>
    <w:rsid w:val="000A20A9"/>
    <w:rsid w:val="000A48B1"/>
    <w:rsid w:val="000B2F0E"/>
    <w:rsid w:val="000B3143"/>
    <w:rsid w:val="000B405D"/>
    <w:rsid w:val="000C08BB"/>
    <w:rsid w:val="000C2BE6"/>
    <w:rsid w:val="000C6B05"/>
    <w:rsid w:val="000C6DD6"/>
    <w:rsid w:val="000C73D4"/>
    <w:rsid w:val="000D3D4C"/>
    <w:rsid w:val="000D4F51"/>
    <w:rsid w:val="000D718B"/>
    <w:rsid w:val="000E0C46"/>
    <w:rsid w:val="000E15EE"/>
    <w:rsid w:val="000F030C"/>
    <w:rsid w:val="000F129C"/>
    <w:rsid w:val="000F174F"/>
    <w:rsid w:val="000F74B7"/>
    <w:rsid w:val="00104E29"/>
    <w:rsid w:val="001056DE"/>
    <w:rsid w:val="001124C0"/>
    <w:rsid w:val="00115D31"/>
    <w:rsid w:val="00117A25"/>
    <w:rsid w:val="00121293"/>
    <w:rsid w:val="0013175F"/>
    <w:rsid w:val="0013364D"/>
    <w:rsid w:val="001343BB"/>
    <w:rsid w:val="001512B4"/>
    <w:rsid w:val="00161B82"/>
    <w:rsid w:val="001620A5"/>
    <w:rsid w:val="00164E53"/>
    <w:rsid w:val="0016699D"/>
    <w:rsid w:val="001670D9"/>
    <w:rsid w:val="00175159"/>
    <w:rsid w:val="00175AD7"/>
    <w:rsid w:val="00176208"/>
    <w:rsid w:val="0017780C"/>
    <w:rsid w:val="001813B2"/>
    <w:rsid w:val="0018211B"/>
    <w:rsid w:val="00183FE1"/>
    <w:rsid w:val="001840D3"/>
    <w:rsid w:val="00184782"/>
    <w:rsid w:val="00187A8A"/>
    <w:rsid w:val="001900F8"/>
    <w:rsid w:val="0019103A"/>
    <w:rsid w:val="00191258"/>
    <w:rsid w:val="00192680"/>
    <w:rsid w:val="00193037"/>
    <w:rsid w:val="00193375"/>
    <w:rsid w:val="00193A2C"/>
    <w:rsid w:val="001A288E"/>
    <w:rsid w:val="001B6DC2"/>
    <w:rsid w:val="001B754B"/>
    <w:rsid w:val="001C149C"/>
    <w:rsid w:val="001C21AC"/>
    <w:rsid w:val="001C3689"/>
    <w:rsid w:val="001C47BA"/>
    <w:rsid w:val="001C59EA"/>
    <w:rsid w:val="001D406C"/>
    <w:rsid w:val="001D41EE"/>
    <w:rsid w:val="001D4BEB"/>
    <w:rsid w:val="001D71E6"/>
    <w:rsid w:val="001E0380"/>
    <w:rsid w:val="001E0B1B"/>
    <w:rsid w:val="001E13B1"/>
    <w:rsid w:val="001E2153"/>
    <w:rsid w:val="001F3A19"/>
    <w:rsid w:val="002009E4"/>
    <w:rsid w:val="00201053"/>
    <w:rsid w:val="0020251B"/>
    <w:rsid w:val="002073D3"/>
    <w:rsid w:val="00215D48"/>
    <w:rsid w:val="0021624B"/>
    <w:rsid w:val="00220917"/>
    <w:rsid w:val="0022185E"/>
    <w:rsid w:val="00227FED"/>
    <w:rsid w:val="0023030A"/>
    <w:rsid w:val="00230F08"/>
    <w:rsid w:val="00234467"/>
    <w:rsid w:val="00235BE6"/>
    <w:rsid w:val="00237D8D"/>
    <w:rsid w:val="00241DA2"/>
    <w:rsid w:val="00247FEE"/>
    <w:rsid w:val="00250E7D"/>
    <w:rsid w:val="002523DB"/>
    <w:rsid w:val="002527DD"/>
    <w:rsid w:val="00252DAA"/>
    <w:rsid w:val="002565D5"/>
    <w:rsid w:val="002622C0"/>
    <w:rsid w:val="002778AE"/>
    <w:rsid w:val="0028269A"/>
    <w:rsid w:val="00283590"/>
    <w:rsid w:val="00286973"/>
    <w:rsid w:val="00287674"/>
    <w:rsid w:val="002938A4"/>
    <w:rsid w:val="00294E70"/>
    <w:rsid w:val="002954B8"/>
    <w:rsid w:val="002967B2"/>
    <w:rsid w:val="00296E3E"/>
    <w:rsid w:val="002A1924"/>
    <w:rsid w:val="002A7420"/>
    <w:rsid w:val="002A7A7E"/>
    <w:rsid w:val="002B0F12"/>
    <w:rsid w:val="002B1308"/>
    <w:rsid w:val="002B4554"/>
    <w:rsid w:val="002B707C"/>
    <w:rsid w:val="002C72D8"/>
    <w:rsid w:val="002D11FA"/>
    <w:rsid w:val="002D17BC"/>
    <w:rsid w:val="002D19A4"/>
    <w:rsid w:val="002D6352"/>
    <w:rsid w:val="002E0DDF"/>
    <w:rsid w:val="002E2906"/>
    <w:rsid w:val="002E5635"/>
    <w:rsid w:val="002E64C3"/>
    <w:rsid w:val="002E6A2C"/>
    <w:rsid w:val="002F035E"/>
    <w:rsid w:val="002F0FE8"/>
    <w:rsid w:val="002F1D8C"/>
    <w:rsid w:val="002F21DA"/>
    <w:rsid w:val="002F34B8"/>
    <w:rsid w:val="00301F39"/>
    <w:rsid w:val="00303D27"/>
    <w:rsid w:val="00305BEE"/>
    <w:rsid w:val="00313962"/>
    <w:rsid w:val="003234E0"/>
    <w:rsid w:val="00325926"/>
    <w:rsid w:val="00327A8A"/>
    <w:rsid w:val="003339A3"/>
    <w:rsid w:val="003361DC"/>
    <w:rsid w:val="00336610"/>
    <w:rsid w:val="00341F5C"/>
    <w:rsid w:val="00343D23"/>
    <w:rsid w:val="00343F73"/>
    <w:rsid w:val="00345060"/>
    <w:rsid w:val="003451FB"/>
    <w:rsid w:val="00352629"/>
    <w:rsid w:val="0035323B"/>
    <w:rsid w:val="00353D19"/>
    <w:rsid w:val="0035785A"/>
    <w:rsid w:val="003609D2"/>
    <w:rsid w:val="00363F22"/>
    <w:rsid w:val="00364940"/>
    <w:rsid w:val="00375564"/>
    <w:rsid w:val="00376489"/>
    <w:rsid w:val="00383191"/>
    <w:rsid w:val="00386DED"/>
    <w:rsid w:val="003912E7"/>
    <w:rsid w:val="00393947"/>
    <w:rsid w:val="00395141"/>
    <w:rsid w:val="00397E8C"/>
    <w:rsid w:val="003A2275"/>
    <w:rsid w:val="003A6A4F"/>
    <w:rsid w:val="003A7088"/>
    <w:rsid w:val="003B00DF"/>
    <w:rsid w:val="003B1275"/>
    <w:rsid w:val="003B1778"/>
    <w:rsid w:val="003C11CB"/>
    <w:rsid w:val="003C3017"/>
    <w:rsid w:val="003C6A77"/>
    <w:rsid w:val="003C75F3"/>
    <w:rsid w:val="003C78A3"/>
    <w:rsid w:val="003D0C28"/>
    <w:rsid w:val="003D36AB"/>
    <w:rsid w:val="003E121B"/>
    <w:rsid w:val="003E1867"/>
    <w:rsid w:val="003E5729"/>
    <w:rsid w:val="003E724E"/>
    <w:rsid w:val="003F1D40"/>
    <w:rsid w:val="003F22BB"/>
    <w:rsid w:val="003F2A5B"/>
    <w:rsid w:val="003F4EE0"/>
    <w:rsid w:val="003F5559"/>
    <w:rsid w:val="00400473"/>
    <w:rsid w:val="00402153"/>
    <w:rsid w:val="00402E26"/>
    <w:rsid w:val="00402FC1"/>
    <w:rsid w:val="004200D9"/>
    <w:rsid w:val="00425082"/>
    <w:rsid w:val="00431DEB"/>
    <w:rsid w:val="0044259D"/>
    <w:rsid w:val="004425EE"/>
    <w:rsid w:val="004439D9"/>
    <w:rsid w:val="00446B29"/>
    <w:rsid w:val="004524BE"/>
    <w:rsid w:val="00453F9A"/>
    <w:rsid w:val="00454CC3"/>
    <w:rsid w:val="00464903"/>
    <w:rsid w:val="00471E91"/>
    <w:rsid w:val="00474079"/>
    <w:rsid w:val="00474675"/>
    <w:rsid w:val="0047470C"/>
    <w:rsid w:val="00481B9A"/>
    <w:rsid w:val="00484C88"/>
    <w:rsid w:val="004A203E"/>
    <w:rsid w:val="004A35F9"/>
    <w:rsid w:val="004A4662"/>
    <w:rsid w:val="004A7E02"/>
    <w:rsid w:val="004B157A"/>
    <w:rsid w:val="004B24C1"/>
    <w:rsid w:val="004B3092"/>
    <w:rsid w:val="004B49B1"/>
    <w:rsid w:val="004B557C"/>
    <w:rsid w:val="004C292F"/>
    <w:rsid w:val="004C657F"/>
    <w:rsid w:val="004D306F"/>
    <w:rsid w:val="004D4B02"/>
    <w:rsid w:val="004D4F76"/>
    <w:rsid w:val="004E4B13"/>
    <w:rsid w:val="004E4B8C"/>
    <w:rsid w:val="004E5A47"/>
    <w:rsid w:val="005036E2"/>
    <w:rsid w:val="00510280"/>
    <w:rsid w:val="00513D73"/>
    <w:rsid w:val="005148B3"/>
    <w:rsid w:val="00514A43"/>
    <w:rsid w:val="00515E9C"/>
    <w:rsid w:val="005174E5"/>
    <w:rsid w:val="00520898"/>
    <w:rsid w:val="00522393"/>
    <w:rsid w:val="00522620"/>
    <w:rsid w:val="00525656"/>
    <w:rsid w:val="00525BF3"/>
    <w:rsid w:val="0053018F"/>
    <w:rsid w:val="00534C02"/>
    <w:rsid w:val="0054044C"/>
    <w:rsid w:val="0054264B"/>
    <w:rsid w:val="00543786"/>
    <w:rsid w:val="00545A49"/>
    <w:rsid w:val="005463CC"/>
    <w:rsid w:val="00546D0D"/>
    <w:rsid w:val="0055153A"/>
    <w:rsid w:val="005533D7"/>
    <w:rsid w:val="00554B63"/>
    <w:rsid w:val="00562CF6"/>
    <w:rsid w:val="0056544B"/>
    <w:rsid w:val="00567177"/>
    <w:rsid w:val="005703DE"/>
    <w:rsid w:val="005710BC"/>
    <w:rsid w:val="005724D7"/>
    <w:rsid w:val="005755F1"/>
    <w:rsid w:val="00582BBE"/>
    <w:rsid w:val="0058464E"/>
    <w:rsid w:val="0058650E"/>
    <w:rsid w:val="005A01CB"/>
    <w:rsid w:val="005A19A9"/>
    <w:rsid w:val="005A58FF"/>
    <w:rsid w:val="005A5EAF"/>
    <w:rsid w:val="005A6491"/>
    <w:rsid w:val="005A64C0"/>
    <w:rsid w:val="005B1985"/>
    <w:rsid w:val="005B3C11"/>
    <w:rsid w:val="005C1C28"/>
    <w:rsid w:val="005C43D0"/>
    <w:rsid w:val="005C6DB5"/>
    <w:rsid w:val="005D3842"/>
    <w:rsid w:val="005D42C9"/>
    <w:rsid w:val="005E19E7"/>
    <w:rsid w:val="005E2392"/>
    <w:rsid w:val="00601622"/>
    <w:rsid w:val="0061037E"/>
    <w:rsid w:val="00613FAA"/>
    <w:rsid w:val="00616C36"/>
    <w:rsid w:val="0061716C"/>
    <w:rsid w:val="006171AF"/>
    <w:rsid w:val="00617868"/>
    <w:rsid w:val="006205E9"/>
    <w:rsid w:val="006243A1"/>
    <w:rsid w:val="00626005"/>
    <w:rsid w:val="00632E56"/>
    <w:rsid w:val="0063350E"/>
    <w:rsid w:val="00635CBA"/>
    <w:rsid w:val="00636EFC"/>
    <w:rsid w:val="0064338B"/>
    <w:rsid w:val="00646542"/>
    <w:rsid w:val="006504F4"/>
    <w:rsid w:val="0065366F"/>
    <w:rsid w:val="00654BC9"/>
    <w:rsid w:val="006552FD"/>
    <w:rsid w:val="00656F0B"/>
    <w:rsid w:val="00663733"/>
    <w:rsid w:val="00663AF3"/>
    <w:rsid w:val="00666B6C"/>
    <w:rsid w:val="00677B54"/>
    <w:rsid w:val="00682682"/>
    <w:rsid w:val="00682702"/>
    <w:rsid w:val="00692368"/>
    <w:rsid w:val="00695192"/>
    <w:rsid w:val="006A2EBC"/>
    <w:rsid w:val="006A5EA0"/>
    <w:rsid w:val="006A783B"/>
    <w:rsid w:val="006A7B33"/>
    <w:rsid w:val="006B1235"/>
    <w:rsid w:val="006B4E13"/>
    <w:rsid w:val="006B75DD"/>
    <w:rsid w:val="006C047C"/>
    <w:rsid w:val="006C3D8B"/>
    <w:rsid w:val="006C67E0"/>
    <w:rsid w:val="006C7ABA"/>
    <w:rsid w:val="006D0A13"/>
    <w:rsid w:val="006D0D60"/>
    <w:rsid w:val="006D1122"/>
    <w:rsid w:val="006D12E3"/>
    <w:rsid w:val="006D317E"/>
    <w:rsid w:val="006D3B1E"/>
    <w:rsid w:val="006D3C00"/>
    <w:rsid w:val="006E06AD"/>
    <w:rsid w:val="006E3675"/>
    <w:rsid w:val="006E4A7F"/>
    <w:rsid w:val="006F0967"/>
    <w:rsid w:val="006F2274"/>
    <w:rsid w:val="006F64A0"/>
    <w:rsid w:val="0070038F"/>
    <w:rsid w:val="007011B0"/>
    <w:rsid w:val="007027B1"/>
    <w:rsid w:val="0070286C"/>
    <w:rsid w:val="00704DF6"/>
    <w:rsid w:val="0070641D"/>
    <w:rsid w:val="0070651C"/>
    <w:rsid w:val="007132A3"/>
    <w:rsid w:val="00716421"/>
    <w:rsid w:val="00721419"/>
    <w:rsid w:val="00724EFB"/>
    <w:rsid w:val="00726575"/>
    <w:rsid w:val="00730310"/>
    <w:rsid w:val="00740A49"/>
    <w:rsid w:val="007419C3"/>
    <w:rsid w:val="00746559"/>
    <w:rsid w:val="007467A7"/>
    <w:rsid w:val="007469DD"/>
    <w:rsid w:val="0074741B"/>
    <w:rsid w:val="0074759E"/>
    <w:rsid w:val="007478EA"/>
    <w:rsid w:val="0075415C"/>
    <w:rsid w:val="00757097"/>
    <w:rsid w:val="00761E8B"/>
    <w:rsid w:val="00763502"/>
    <w:rsid w:val="007913AB"/>
    <w:rsid w:val="007914F7"/>
    <w:rsid w:val="00795C73"/>
    <w:rsid w:val="007A4809"/>
    <w:rsid w:val="007B1625"/>
    <w:rsid w:val="007B706E"/>
    <w:rsid w:val="007B71EB"/>
    <w:rsid w:val="007C0748"/>
    <w:rsid w:val="007C6205"/>
    <w:rsid w:val="007C686A"/>
    <w:rsid w:val="007C728E"/>
    <w:rsid w:val="007D0BE0"/>
    <w:rsid w:val="007D204F"/>
    <w:rsid w:val="007D2C53"/>
    <w:rsid w:val="007D3D60"/>
    <w:rsid w:val="007E1980"/>
    <w:rsid w:val="007E4B76"/>
    <w:rsid w:val="007E5043"/>
    <w:rsid w:val="007E5EA8"/>
    <w:rsid w:val="007F0CF1"/>
    <w:rsid w:val="007F12A5"/>
    <w:rsid w:val="007F2D74"/>
    <w:rsid w:val="007F3FB7"/>
    <w:rsid w:val="007F4CF1"/>
    <w:rsid w:val="007F758D"/>
    <w:rsid w:val="007F7D52"/>
    <w:rsid w:val="0080484A"/>
    <w:rsid w:val="00805589"/>
    <w:rsid w:val="008057A5"/>
    <w:rsid w:val="00805E2F"/>
    <w:rsid w:val="0080654C"/>
    <w:rsid w:val="008071C6"/>
    <w:rsid w:val="00817A00"/>
    <w:rsid w:val="00820B95"/>
    <w:rsid w:val="00825891"/>
    <w:rsid w:val="00831631"/>
    <w:rsid w:val="0083228D"/>
    <w:rsid w:val="00833D07"/>
    <w:rsid w:val="00835DB3"/>
    <w:rsid w:val="0083617B"/>
    <w:rsid w:val="00836342"/>
    <w:rsid w:val="00836A2D"/>
    <w:rsid w:val="008371BD"/>
    <w:rsid w:val="00840EBF"/>
    <w:rsid w:val="008428CC"/>
    <w:rsid w:val="008504A8"/>
    <w:rsid w:val="00851B58"/>
    <w:rsid w:val="0085282E"/>
    <w:rsid w:val="0087198C"/>
    <w:rsid w:val="00872C1F"/>
    <w:rsid w:val="00873B42"/>
    <w:rsid w:val="00877CB0"/>
    <w:rsid w:val="008805AC"/>
    <w:rsid w:val="00880D1A"/>
    <w:rsid w:val="0088396D"/>
    <w:rsid w:val="00884468"/>
    <w:rsid w:val="008856D8"/>
    <w:rsid w:val="00892E82"/>
    <w:rsid w:val="00893277"/>
    <w:rsid w:val="00895FA9"/>
    <w:rsid w:val="008A1035"/>
    <w:rsid w:val="008A6E08"/>
    <w:rsid w:val="008C0BE9"/>
    <w:rsid w:val="008C1B58"/>
    <w:rsid w:val="008C39AE"/>
    <w:rsid w:val="008C40DF"/>
    <w:rsid w:val="008C590D"/>
    <w:rsid w:val="008C6C96"/>
    <w:rsid w:val="008D447E"/>
    <w:rsid w:val="008D631F"/>
    <w:rsid w:val="008D7566"/>
    <w:rsid w:val="008E031B"/>
    <w:rsid w:val="008E0560"/>
    <w:rsid w:val="008E17F7"/>
    <w:rsid w:val="008E2D8C"/>
    <w:rsid w:val="008E7029"/>
    <w:rsid w:val="008E7EF6"/>
    <w:rsid w:val="008F10C5"/>
    <w:rsid w:val="008F1F98"/>
    <w:rsid w:val="008F2340"/>
    <w:rsid w:val="008F2790"/>
    <w:rsid w:val="008F6758"/>
    <w:rsid w:val="009040DD"/>
    <w:rsid w:val="00905B47"/>
    <w:rsid w:val="0090690F"/>
    <w:rsid w:val="00911391"/>
    <w:rsid w:val="0091331C"/>
    <w:rsid w:val="009137BD"/>
    <w:rsid w:val="0091503D"/>
    <w:rsid w:val="009279DE"/>
    <w:rsid w:val="00927AB9"/>
    <w:rsid w:val="00927B37"/>
    <w:rsid w:val="00930116"/>
    <w:rsid w:val="00930625"/>
    <w:rsid w:val="00941082"/>
    <w:rsid w:val="0094212C"/>
    <w:rsid w:val="00944853"/>
    <w:rsid w:val="0094609D"/>
    <w:rsid w:val="0095378C"/>
    <w:rsid w:val="00954689"/>
    <w:rsid w:val="0095472A"/>
    <w:rsid w:val="0096085A"/>
    <w:rsid w:val="009617C9"/>
    <w:rsid w:val="00961C93"/>
    <w:rsid w:val="00962B4E"/>
    <w:rsid w:val="00965324"/>
    <w:rsid w:val="0097091E"/>
    <w:rsid w:val="00973226"/>
    <w:rsid w:val="009760D3"/>
    <w:rsid w:val="00977132"/>
    <w:rsid w:val="00981A4B"/>
    <w:rsid w:val="00982250"/>
    <w:rsid w:val="00982501"/>
    <w:rsid w:val="00983D33"/>
    <w:rsid w:val="009877D3"/>
    <w:rsid w:val="00994E8F"/>
    <w:rsid w:val="009951DC"/>
    <w:rsid w:val="009959BB"/>
    <w:rsid w:val="00997158"/>
    <w:rsid w:val="009A0827"/>
    <w:rsid w:val="009A3A7C"/>
    <w:rsid w:val="009A5D33"/>
    <w:rsid w:val="009A5F99"/>
    <w:rsid w:val="009A7D84"/>
    <w:rsid w:val="009B2323"/>
    <w:rsid w:val="009B2ADB"/>
    <w:rsid w:val="009B603A"/>
    <w:rsid w:val="009C2291"/>
    <w:rsid w:val="009C2D0E"/>
    <w:rsid w:val="009C3DAC"/>
    <w:rsid w:val="009C42E0"/>
    <w:rsid w:val="009D3230"/>
    <w:rsid w:val="009D5362"/>
    <w:rsid w:val="009E1415"/>
    <w:rsid w:val="009E6116"/>
    <w:rsid w:val="009E7E25"/>
    <w:rsid w:val="00A02E43"/>
    <w:rsid w:val="00A05368"/>
    <w:rsid w:val="00A065F9"/>
    <w:rsid w:val="00A07011"/>
    <w:rsid w:val="00A07F34"/>
    <w:rsid w:val="00A22154"/>
    <w:rsid w:val="00A24058"/>
    <w:rsid w:val="00A25C38"/>
    <w:rsid w:val="00A35824"/>
    <w:rsid w:val="00A36BBE"/>
    <w:rsid w:val="00A37C20"/>
    <w:rsid w:val="00A40D9E"/>
    <w:rsid w:val="00A41DF7"/>
    <w:rsid w:val="00A420B1"/>
    <w:rsid w:val="00A42ECA"/>
    <w:rsid w:val="00A4307A"/>
    <w:rsid w:val="00A46DEF"/>
    <w:rsid w:val="00A47EBB"/>
    <w:rsid w:val="00A51CDD"/>
    <w:rsid w:val="00A563F8"/>
    <w:rsid w:val="00A56BBA"/>
    <w:rsid w:val="00A6730D"/>
    <w:rsid w:val="00A71625"/>
    <w:rsid w:val="00A71B9B"/>
    <w:rsid w:val="00A72985"/>
    <w:rsid w:val="00A751C7"/>
    <w:rsid w:val="00A80008"/>
    <w:rsid w:val="00A84CE5"/>
    <w:rsid w:val="00A87844"/>
    <w:rsid w:val="00A9227B"/>
    <w:rsid w:val="00A97A55"/>
    <w:rsid w:val="00AA038C"/>
    <w:rsid w:val="00AA7A09"/>
    <w:rsid w:val="00AB3B50"/>
    <w:rsid w:val="00AC05B1"/>
    <w:rsid w:val="00AC450C"/>
    <w:rsid w:val="00AD340B"/>
    <w:rsid w:val="00AD356C"/>
    <w:rsid w:val="00AE2914"/>
    <w:rsid w:val="00AE6D15"/>
    <w:rsid w:val="00AE7023"/>
    <w:rsid w:val="00AE78AA"/>
    <w:rsid w:val="00AF0EF3"/>
    <w:rsid w:val="00AF1F49"/>
    <w:rsid w:val="00AF2D81"/>
    <w:rsid w:val="00B04182"/>
    <w:rsid w:val="00B05ECF"/>
    <w:rsid w:val="00B07AE3"/>
    <w:rsid w:val="00B11430"/>
    <w:rsid w:val="00B118A5"/>
    <w:rsid w:val="00B12A5D"/>
    <w:rsid w:val="00B242F4"/>
    <w:rsid w:val="00B2477A"/>
    <w:rsid w:val="00B24D1C"/>
    <w:rsid w:val="00B30072"/>
    <w:rsid w:val="00B30481"/>
    <w:rsid w:val="00B3312F"/>
    <w:rsid w:val="00B353EB"/>
    <w:rsid w:val="00B4016F"/>
    <w:rsid w:val="00B407AC"/>
    <w:rsid w:val="00B439C4"/>
    <w:rsid w:val="00B4465D"/>
    <w:rsid w:val="00B4535E"/>
    <w:rsid w:val="00B52A8C"/>
    <w:rsid w:val="00B54707"/>
    <w:rsid w:val="00B56155"/>
    <w:rsid w:val="00B62F11"/>
    <w:rsid w:val="00B63042"/>
    <w:rsid w:val="00B636A8"/>
    <w:rsid w:val="00B665C6"/>
    <w:rsid w:val="00B72AD8"/>
    <w:rsid w:val="00B74441"/>
    <w:rsid w:val="00B758A5"/>
    <w:rsid w:val="00B805AF"/>
    <w:rsid w:val="00B82BD5"/>
    <w:rsid w:val="00B869EC"/>
    <w:rsid w:val="00B92383"/>
    <w:rsid w:val="00B9397A"/>
    <w:rsid w:val="00B9633D"/>
    <w:rsid w:val="00B967D5"/>
    <w:rsid w:val="00BA2EBE"/>
    <w:rsid w:val="00BA3736"/>
    <w:rsid w:val="00BB0F28"/>
    <w:rsid w:val="00BB458A"/>
    <w:rsid w:val="00BB693F"/>
    <w:rsid w:val="00BB7439"/>
    <w:rsid w:val="00BB78CC"/>
    <w:rsid w:val="00BC5953"/>
    <w:rsid w:val="00BD00D3"/>
    <w:rsid w:val="00BD1659"/>
    <w:rsid w:val="00BD3AA9"/>
    <w:rsid w:val="00BD4A18"/>
    <w:rsid w:val="00BD6DB2"/>
    <w:rsid w:val="00BD73A1"/>
    <w:rsid w:val="00BE11CF"/>
    <w:rsid w:val="00BE21AB"/>
    <w:rsid w:val="00BE55CB"/>
    <w:rsid w:val="00BE7067"/>
    <w:rsid w:val="00BF3BB2"/>
    <w:rsid w:val="00BF617A"/>
    <w:rsid w:val="00C0379D"/>
    <w:rsid w:val="00C03931"/>
    <w:rsid w:val="00C05FE3"/>
    <w:rsid w:val="00C11DA9"/>
    <w:rsid w:val="00C2136D"/>
    <w:rsid w:val="00C214EE"/>
    <w:rsid w:val="00C2314B"/>
    <w:rsid w:val="00C244A0"/>
    <w:rsid w:val="00C24971"/>
    <w:rsid w:val="00C25355"/>
    <w:rsid w:val="00C26BE5"/>
    <w:rsid w:val="00C26E4D"/>
    <w:rsid w:val="00C27909"/>
    <w:rsid w:val="00C27B03"/>
    <w:rsid w:val="00C314E1"/>
    <w:rsid w:val="00C34397"/>
    <w:rsid w:val="00C40503"/>
    <w:rsid w:val="00C4095D"/>
    <w:rsid w:val="00C57A9C"/>
    <w:rsid w:val="00C601D2"/>
    <w:rsid w:val="00C65BCC"/>
    <w:rsid w:val="00C66970"/>
    <w:rsid w:val="00C71F4D"/>
    <w:rsid w:val="00C8691C"/>
    <w:rsid w:val="00C86CB4"/>
    <w:rsid w:val="00C96295"/>
    <w:rsid w:val="00C96364"/>
    <w:rsid w:val="00CA03DF"/>
    <w:rsid w:val="00CA168A"/>
    <w:rsid w:val="00CA2097"/>
    <w:rsid w:val="00CA357E"/>
    <w:rsid w:val="00CA44F9"/>
    <w:rsid w:val="00CA4A69"/>
    <w:rsid w:val="00CB722E"/>
    <w:rsid w:val="00CC3E0C"/>
    <w:rsid w:val="00CC58D3"/>
    <w:rsid w:val="00CC784D"/>
    <w:rsid w:val="00CF1E15"/>
    <w:rsid w:val="00D00A8D"/>
    <w:rsid w:val="00D03268"/>
    <w:rsid w:val="00D0337B"/>
    <w:rsid w:val="00D07777"/>
    <w:rsid w:val="00D079B2"/>
    <w:rsid w:val="00D114E9"/>
    <w:rsid w:val="00D17CD8"/>
    <w:rsid w:val="00D20D41"/>
    <w:rsid w:val="00D2527C"/>
    <w:rsid w:val="00D313B3"/>
    <w:rsid w:val="00D35B8E"/>
    <w:rsid w:val="00D40F07"/>
    <w:rsid w:val="00D429C6"/>
    <w:rsid w:val="00D47748"/>
    <w:rsid w:val="00D5178F"/>
    <w:rsid w:val="00D518DF"/>
    <w:rsid w:val="00D54CC3"/>
    <w:rsid w:val="00D6041A"/>
    <w:rsid w:val="00D61258"/>
    <w:rsid w:val="00D633EB"/>
    <w:rsid w:val="00D736AC"/>
    <w:rsid w:val="00D747AA"/>
    <w:rsid w:val="00D75A7E"/>
    <w:rsid w:val="00D82FF7"/>
    <w:rsid w:val="00D847FE"/>
    <w:rsid w:val="00D86B9C"/>
    <w:rsid w:val="00D900CD"/>
    <w:rsid w:val="00D90A39"/>
    <w:rsid w:val="00D916E4"/>
    <w:rsid w:val="00D91B49"/>
    <w:rsid w:val="00D964EA"/>
    <w:rsid w:val="00D966D0"/>
    <w:rsid w:val="00D96FE2"/>
    <w:rsid w:val="00DA0C59"/>
    <w:rsid w:val="00DA3991"/>
    <w:rsid w:val="00DA72A1"/>
    <w:rsid w:val="00DA7F95"/>
    <w:rsid w:val="00DB01F1"/>
    <w:rsid w:val="00DB3222"/>
    <w:rsid w:val="00DB7E6C"/>
    <w:rsid w:val="00DC4F68"/>
    <w:rsid w:val="00DC64B0"/>
    <w:rsid w:val="00DC6B1E"/>
    <w:rsid w:val="00DD252A"/>
    <w:rsid w:val="00DD5949"/>
    <w:rsid w:val="00DD5A29"/>
    <w:rsid w:val="00DD5D9D"/>
    <w:rsid w:val="00DE35CB"/>
    <w:rsid w:val="00DF0EF0"/>
    <w:rsid w:val="00DF21E9"/>
    <w:rsid w:val="00DF22C7"/>
    <w:rsid w:val="00DF5CC9"/>
    <w:rsid w:val="00E00F14"/>
    <w:rsid w:val="00E01CB8"/>
    <w:rsid w:val="00E06386"/>
    <w:rsid w:val="00E075C5"/>
    <w:rsid w:val="00E1051A"/>
    <w:rsid w:val="00E11668"/>
    <w:rsid w:val="00E118E7"/>
    <w:rsid w:val="00E122B7"/>
    <w:rsid w:val="00E21B55"/>
    <w:rsid w:val="00E221D3"/>
    <w:rsid w:val="00E24EB4"/>
    <w:rsid w:val="00E30635"/>
    <w:rsid w:val="00E320ED"/>
    <w:rsid w:val="00E33AFB"/>
    <w:rsid w:val="00E34218"/>
    <w:rsid w:val="00E4555B"/>
    <w:rsid w:val="00E46282"/>
    <w:rsid w:val="00E5216E"/>
    <w:rsid w:val="00E5529C"/>
    <w:rsid w:val="00E657C6"/>
    <w:rsid w:val="00E75D40"/>
    <w:rsid w:val="00E81965"/>
    <w:rsid w:val="00E82344"/>
    <w:rsid w:val="00E84C82"/>
    <w:rsid w:val="00E84D64"/>
    <w:rsid w:val="00E87408"/>
    <w:rsid w:val="00E914C4"/>
    <w:rsid w:val="00E934F5"/>
    <w:rsid w:val="00E96961"/>
    <w:rsid w:val="00EA72EC"/>
    <w:rsid w:val="00EB11CB"/>
    <w:rsid w:val="00EB1C71"/>
    <w:rsid w:val="00EB275A"/>
    <w:rsid w:val="00EB57CA"/>
    <w:rsid w:val="00EB786A"/>
    <w:rsid w:val="00EC1578"/>
    <w:rsid w:val="00EC1BFC"/>
    <w:rsid w:val="00EC1C72"/>
    <w:rsid w:val="00EC3356"/>
    <w:rsid w:val="00EC3CC9"/>
    <w:rsid w:val="00EC5D85"/>
    <w:rsid w:val="00EC680A"/>
    <w:rsid w:val="00ED511C"/>
    <w:rsid w:val="00ED7229"/>
    <w:rsid w:val="00EE25CB"/>
    <w:rsid w:val="00EE2BED"/>
    <w:rsid w:val="00EE374B"/>
    <w:rsid w:val="00EE4A87"/>
    <w:rsid w:val="00EF2869"/>
    <w:rsid w:val="00F05D60"/>
    <w:rsid w:val="00F07224"/>
    <w:rsid w:val="00F07FD3"/>
    <w:rsid w:val="00F11BB5"/>
    <w:rsid w:val="00F1296C"/>
    <w:rsid w:val="00F1417B"/>
    <w:rsid w:val="00F1712D"/>
    <w:rsid w:val="00F17A17"/>
    <w:rsid w:val="00F208A0"/>
    <w:rsid w:val="00F2115E"/>
    <w:rsid w:val="00F27B3D"/>
    <w:rsid w:val="00F30ABD"/>
    <w:rsid w:val="00F34B99"/>
    <w:rsid w:val="00F40B02"/>
    <w:rsid w:val="00F41E81"/>
    <w:rsid w:val="00F51720"/>
    <w:rsid w:val="00F51CF2"/>
    <w:rsid w:val="00F52DAB"/>
    <w:rsid w:val="00F543F0"/>
    <w:rsid w:val="00F55E3E"/>
    <w:rsid w:val="00F57601"/>
    <w:rsid w:val="00F73F99"/>
    <w:rsid w:val="00F75F80"/>
    <w:rsid w:val="00F81D29"/>
    <w:rsid w:val="00F90BE5"/>
    <w:rsid w:val="00F91C4D"/>
    <w:rsid w:val="00F92FD9"/>
    <w:rsid w:val="00FA37B1"/>
    <w:rsid w:val="00FA3E0B"/>
    <w:rsid w:val="00FA5EF7"/>
    <w:rsid w:val="00FA6684"/>
    <w:rsid w:val="00FA731E"/>
    <w:rsid w:val="00FA7BD0"/>
    <w:rsid w:val="00FB1DCF"/>
    <w:rsid w:val="00FB2B38"/>
    <w:rsid w:val="00FB61CE"/>
    <w:rsid w:val="00FB7A07"/>
    <w:rsid w:val="00FC04CC"/>
    <w:rsid w:val="00FC2066"/>
    <w:rsid w:val="00FC6358"/>
    <w:rsid w:val="00FD1381"/>
    <w:rsid w:val="00FD320D"/>
    <w:rsid w:val="00FD7FAC"/>
    <w:rsid w:val="00FE1B98"/>
    <w:rsid w:val="00FE23DE"/>
    <w:rsid w:val="00FF1801"/>
    <w:rsid w:val="00FF6842"/>
    <w:rsid w:val="035B751F"/>
    <w:rsid w:val="038C2A7C"/>
    <w:rsid w:val="040E27E3"/>
    <w:rsid w:val="05F718A3"/>
    <w:rsid w:val="06255BC2"/>
    <w:rsid w:val="08307210"/>
    <w:rsid w:val="085A7248"/>
    <w:rsid w:val="09C474A0"/>
    <w:rsid w:val="0D2A17C1"/>
    <w:rsid w:val="0D532EA5"/>
    <w:rsid w:val="0E0A5DCA"/>
    <w:rsid w:val="10EC17B7"/>
    <w:rsid w:val="13257202"/>
    <w:rsid w:val="140C03C2"/>
    <w:rsid w:val="171462E5"/>
    <w:rsid w:val="18A23DFD"/>
    <w:rsid w:val="18C64FE3"/>
    <w:rsid w:val="193E101D"/>
    <w:rsid w:val="19CC6629"/>
    <w:rsid w:val="1A09162B"/>
    <w:rsid w:val="1A153EDB"/>
    <w:rsid w:val="1AF65F7B"/>
    <w:rsid w:val="1CF351B8"/>
    <w:rsid w:val="1D2A7503"/>
    <w:rsid w:val="1D3F4698"/>
    <w:rsid w:val="1D6628F1"/>
    <w:rsid w:val="1E830C01"/>
    <w:rsid w:val="1EFF6AF0"/>
    <w:rsid w:val="22592A24"/>
    <w:rsid w:val="257E15A4"/>
    <w:rsid w:val="25CB1E8B"/>
    <w:rsid w:val="25F17813"/>
    <w:rsid w:val="29F72F12"/>
    <w:rsid w:val="2E3D31FA"/>
    <w:rsid w:val="2F534F90"/>
    <w:rsid w:val="305B1B98"/>
    <w:rsid w:val="3074175D"/>
    <w:rsid w:val="30DC25DF"/>
    <w:rsid w:val="33134E71"/>
    <w:rsid w:val="35447564"/>
    <w:rsid w:val="36CC1DAA"/>
    <w:rsid w:val="3709636F"/>
    <w:rsid w:val="39B97EA9"/>
    <w:rsid w:val="3A9F1D18"/>
    <w:rsid w:val="3AF92B9E"/>
    <w:rsid w:val="3DAA6DCF"/>
    <w:rsid w:val="3E587BDC"/>
    <w:rsid w:val="4042146D"/>
    <w:rsid w:val="41E023C2"/>
    <w:rsid w:val="42B64C69"/>
    <w:rsid w:val="43C01B15"/>
    <w:rsid w:val="43CC2BFE"/>
    <w:rsid w:val="43D15EDE"/>
    <w:rsid w:val="46902609"/>
    <w:rsid w:val="4933226B"/>
    <w:rsid w:val="499A554C"/>
    <w:rsid w:val="4C9444D5"/>
    <w:rsid w:val="4D357A66"/>
    <w:rsid w:val="4D6E4D26"/>
    <w:rsid w:val="4DC975B6"/>
    <w:rsid w:val="4F6603AB"/>
    <w:rsid w:val="538B7677"/>
    <w:rsid w:val="596F323B"/>
    <w:rsid w:val="5ACB1A0A"/>
    <w:rsid w:val="5C9347A9"/>
    <w:rsid w:val="5E541D16"/>
    <w:rsid w:val="5F427DC1"/>
    <w:rsid w:val="60A56859"/>
    <w:rsid w:val="62C3746A"/>
    <w:rsid w:val="62C92CD3"/>
    <w:rsid w:val="649B244D"/>
    <w:rsid w:val="65F22D97"/>
    <w:rsid w:val="6A035AC2"/>
    <w:rsid w:val="6A5D01A4"/>
    <w:rsid w:val="6B183186"/>
    <w:rsid w:val="6D8A61D8"/>
    <w:rsid w:val="6DE37749"/>
    <w:rsid w:val="71CD417B"/>
    <w:rsid w:val="750F01DD"/>
    <w:rsid w:val="79403182"/>
    <w:rsid w:val="79B7167F"/>
    <w:rsid w:val="79FA26B2"/>
    <w:rsid w:val="7EAD73B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0" w:name="toc 2"/>
    <w:lsdException w:qFormat="1" w:unhideWhenUsed="0" w:uiPriority="39" w:semiHidden="0" w:name="toc 3"/>
    <w:lsdException w:qFormat="1" w:unhideWhenUsed="0" w:uiPriority="0" w:name="toc 4"/>
    <w:lsdException w:qFormat="1" w:unhideWhenUsed="0" w:uiPriority="0" w:name="toc 5"/>
    <w:lsdException w:qFormat="1" w:unhideWhenUsed="0" w:uiPriority="0" w:name="toc 6"/>
    <w:lsdException w:qFormat="1" w:unhideWhenUsed="0" w:uiPriority="39" w:semiHidden="0" w:name="toc 7"/>
    <w:lsdException w:qFormat="1" w:unhideWhenUsed="0" w:uiPriority="0" w:name="toc 8"/>
    <w:lsdException w:qFormat="1" w:unhideWhenUsed="0" w:uiPriority="0" w:name="toc 9"/>
    <w:lsdException w:uiPriority="0" w:name="Normal Indent"/>
    <w:lsdException w:qFormat="1" w:unhideWhenUsed="0" w:uiPriority="0" w:semiHidden="0" w:name="footnote text"/>
    <w:lsdException w:qFormat="1" w:uiPriority="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qFormat="1" w:unhideWhenUsed="0" w:uiPriority="0" w:name="footnote reference"/>
    <w:lsdException w:qFormat="1" w:uiPriority="0" w:name="annotation reference"/>
    <w:lsdException w:uiPriority="0" w:name="line number"/>
    <w:lsdException w:qFormat="1" w:unhideWhenUsed="0" w:uiPriority="0" w:semiHidden="0" w:name="page number"/>
    <w:lsdException w:qFormat="1" w:unhideWhenUsed="0" w:uiPriority="0" w:name="endnote reference"/>
    <w:lsdException w:qFormat="1" w:unhideWhenUsed="0"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qFormat="1" w:unhideWhenUsed="0" w:uiPriority="99" w:semiHidden="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iPriority="0" w:name="Plain Text"/>
    <w:lsdException w:uiPriority="0" w:name="E-mail Signature"/>
    <w:lsdException w:qFormat="1"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semiHidden/>
    <w:unhideWhenUsed/>
    <w:qFormat/>
    <w:uiPriority w:val="0"/>
    <w:pPr>
      <w:spacing w:beforeAutospacing="1" w:afterAutospacing="1"/>
      <w:jc w:val="left"/>
      <w:outlineLvl w:val="2"/>
    </w:pPr>
    <w:rPr>
      <w:rFonts w:hint="eastAsia" w:ascii="宋体" w:hAnsi="宋体"/>
      <w:b/>
      <w:bCs/>
      <w:kern w:val="0"/>
      <w:sz w:val="27"/>
      <w:szCs w:val="27"/>
    </w:rPr>
  </w:style>
  <w:style w:type="paragraph" w:styleId="3">
    <w:name w:val="heading 4"/>
    <w:basedOn w:val="1"/>
    <w:next w:val="1"/>
    <w:semiHidden/>
    <w:unhideWhenUsed/>
    <w:qFormat/>
    <w:uiPriority w:val="0"/>
    <w:pPr>
      <w:spacing w:beforeAutospacing="1" w:afterAutospacing="1"/>
      <w:jc w:val="left"/>
      <w:outlineLvl w:val="3"/>
    </w:pPr>
    <w:rPr>
      <w:rFonts w:hint="eastAsia" w:ascii="宋体" w:hAnsi="宋体"/>
      <w:b/>
      <w:bCs/>
      <w:kern w:val="0"/>
      <w:sz w:val="24"/>
    </w:rPr>
  </w:style>
  <w:style w:type="paragraph" w:styleId="4">
    <w:name w:val="heading 5"/>
    <w:basedOn w:val="1"/>
    <w:next w:val="1"/>
    <w:semiHidden/>
    <w:unhideWhenUsed/>
    <w:qFormat/>
    <w:uiPriority w:val="0"/>
    <w:pPr>
      <w:spacing w:beforeAutospacing="1" w:afterAutospacing="1"/>
      <w:jc w:val="left"/>
      <w:outlineLvl w:val="4"/>
    </w:pPr>
    <w:rPr>
      <w:rFonts w:hint="eastAsia" w:ascii="宋体" w:hAnsi="宋体"/>
      <w:b/>
      <w:bCs/>
      <w:kern w:val="0"/>
      <w:sz w:val="20"/>
      <w:szCs w:val="20"/>
    </w:rPr>
  </w:style>
  <w:style w:type="character" w:default="1" w:styleId="39">
    <w:name w:val="Default Paragraph Font"/>
    <w:semiHidden/>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5">
    <w:name w:val="toc 7"/>
    <w:basedOn w:val="1"/>
    <w:next w:val="1"/>
    <w:autoRedefine/>
    <w:qFormat/>
    <w:uiPriority w:val="39"/>
    <w:pPr>
      <w:tabs>
        <w:tab w:val="right" w:leader="dot" w:pos="9241"/>
      </w:tabs>
      <w:ind w:firstLine="505" w:firstLineChars="500"/>
      <w:jc w:val="left"/>
    </w:pPr>
    <w:rPr>
      <w:rFonts w:ascii="宋体"/>
      <w:szCs w:val="21"/>
    </w:rPr>
  </w:style>
  <w:style w:type="paragraph" w:styleId="6">
    <w:name w:val="index 8"/>
    <w:basedOn w:val="1"/>
    <w:next w:val="1"/>
    <w:autoRedefine/>
    <w:qFormat/>
    <w:uiPriority w:val="0"/>
    <w:pPr>
      <w:ind w:left="1680" w:hanging="210"/>
      <w:jc w:val="left"/>
    </w:pPr>
    <w:rPr>
      <w:rFonts w:ascii="Calibri" w:hAnsi="Calibri"/>
      <w:sz w:val="20"/>
      <w:szCs w:val="20"/>
    </w:rPr>
  </w:style>
  <w:style w:type="paragraph" w:styleId="7">
    <w:name w:val="caption"/>
    <w:basedOn w:val="1"/>
    <w:next w:val="1"/>
    <w:autoRedefine/>
    <w:qFormat/>
    <w:uiPriority w:val="0"/>
    <w:pPr>
      <w:spacing w:before="152" w:after="160"/>
    </w:pPr>
    <w:rPr>
      <w:rFonts w:ascii="Arial" w:hAnsi="Arial" w:eastAsia="黑体" w:cs="Arial"/>
      <w:sz w:val="20"/>
      <w:szCs w:val="20"/>
    </w:rPr>
  </w:style>
  <w:style w:type="paragraph" w:styleId="8">
    <w:name w:val="index 5"/>
    <w:basedOn w:val="1"/>
    <w:next w:val="1"/>
    <w:autoRedefine/>
    <w:qFormat/>
    <w:uiPriority w:val="0"/>
    <w:pPr>
      <w:ind w:left="1050" w:hanging="210"/>
      <w:jc w:val="left"/>
    </w:pPr>
    <w:rPr>
      <w:rFonts w:ascii="Calibri" w:hAnsi="Calibri"/>
      <w:sz w:val="20"/>
      <w:szCs w:val="20"/>
    </w:rPr>
  </w:style>
  <w:style w:type="paragraph" w:styleId="9">
    <w:name w:val="Document Map"/>
    <w:basedOn w:val="1"/>
    <w:autoRedefine/>
    <w:semiHidden/>
    <w:qFormat/>
    <w:uiPriority w:val="0"/>
    <w:pPr>
      <w:shd w:val="clear" w:color="auto" w:fill="000080"/>
    </w:pPr>
  </w:style>
  <w:style w:type="paragraph" w:styleId="10">
    <w:name w:val="annotation text"/>
    <w:basedOn w:val="1"/>
    <w:link w:val="161"/>
    <w:semiHidden/>
    <w:unhideWhenUsed/>
    <w:qFormat/>
    <w:uiPriority w:val="0"/>
    <w:pPr>
      <w:jc w:val="left"/>
    </w:pPr>
  </w:style>
  <w:style w:type="paragraph" w:styleId="11">
    <w:name w:val="index 6"/>
    <w:basedOn w:val="1"/>
    <w:next w:val="1"/>
    <w:autoRedefine/>
    <w:qFormat/>
    <w:uiPriority w:val="0"/>
    <w:pPr>
      <w:ind w:left="1260" w:hanging="210"/>
      <w:jc w:val="left"/>
    </w:pPr>
    <w:rPr>
      <w:rFonts w:ascii="Calibri" w:hAnsi="Calibri"/>
      <w:sz w:val="20"/>
      <w:szCs w:val="20"/>
    </w:rPr>
  </w:style>
  <w:style w:type="paragraph" w:styleId="12">
    <w:name w:val="Body Text"/>
    <w:basedOn w:val="1"/>
    <w:qFormat/>
    <w:uiPriority w:val="0"/>
    <w:rPr>
      <w:color w:val="003366"/>
      <w:kern w:val="10"/>
    </w:rPr>
  </w:style>
  <w:style w:type="paragraph" w:styleId="13">
    <w:name w:val="index 4"/>
    <w:basedOn w:val="1"/>
    <w:next w:val="1"/>
    <w:autoRedefine/>
    <w:qFormat/>
    <w:uiPriority w:val="0"/>
    <w:pPr>
      <w:ind w:left="840" w:hanging="210"/>
      <w:jc w:val="left"/>
    </w:pPr>
    <w:rPr>
      <w:rFonts w:ascii="Calibri" w:hAnsi="Calibri"/>
      <w:sz w:val="20"/>
      <w:szCs w:val="20"/>
    </w:rPr>
  </w:style>
  <w:style w:type="paragraph" w:styleId="14">
    <w:name w:val="toc 5"/>
    <w:basedOn w:val="1"/>
    <w:next w:val="1"/>
    <w:autoRedefine/>
    <w:semiHidden/>
    <w:qFormat/>
    <w:uiPriority w:val="0"/>
    <w:pPr>
      <w:tabs>
        <w:tab w:val="right" w:leader="dot" w:pos="9241"/>
      </w:tabs>
      <w:ind w:firstLine="300" w:firstLineChars="300"/>
      <w:jc w:val="left"/>
    </w:pPr>
    <w:rPr>
      <w:rFonts w:ascii="宋体"/>
      <w:szCs w:val="21"/>
    </w:rPr>
  </w:style>
  <w:style w:type="paragraph" w:styleId="15">
    <w:name w:val="toc 3"/>
    <w:basedOn w:val="1"/>
    <w:next w:val="1"/>
    <w:autoRedefine/>
    <w:qFormat/>
    <w:uiPriority w:val="39"/>
    <w:pPr>
      <w:tabs>
        <w:tab w:val="right" w:leader="dot" w:pos="9241"/>
      </w:tabs>
      <w:ind w:firstLine="102" w:firstLineChars="100"/>
      <w:jc w:val="left"/>
    </w:pPr>
    <w:rPr>
      <w:rFonts w:ascii="宋体"/>
      <w:szCs w:val="21"/>
    </w:rPr>
  </w:style>
  <w:style w:type="paragraph" w:styleId="16">
    <w:name w:val="toc 8"/>
    <w:basedOn w:val="1"/>
    <w:next w:val="1"/>
    <w:autoRedefine/>
    <w:semiHidden/>
    <w:qFormat/>
    <w:uiPriority w:val="0"/>
    <w:pPr>
      <w:tabs>
        <w:tab w:val="right" w:leader="dot" w:pos="9241"/>
      </w:tabs>
      <w:ind w:firstLine="607" w:firstLineChars="600"/>
      <w:jc w:val="left"/>
    </w:pPr>
    <w:rPr>
      <w:rFonts w:ascii="宋体"/>
      <w:szCs w:val="21"/>
    </w:rPr>
  </w:style>
  <w:style w:type="paragraph" w:styleId="17">
    <w:name w:val="index 3"/>
    <w:basedOn w:val="1"/>
    <w:next w:val="1"/>
    <w:autoRedefine/>
    <w:qFormat/>
    <w:uiPriority w:val="0"/>
    <w:pPr>
      <w:ind w:left="630" w:hanging="210"/>
      <w:jc w:val="left"/>
    </w:pPr>
    <w:rPr>
      <w:rFonts w:ascii="Calibri" w:hAnsi="Calibri"/>
      <w:sz w:val="20"/>
      <w:szCs w:val="20"/>
    </w:rPr>
  </w:style>
  <w:style w:type="paragraph" w:styleId="18">
    <w:name w:val="endnote text"/>
    <w:basedOn w:val="1"/>
    <w:autoRedefine/>
    <w:semiHidden/>
    <w:qFormat/>
    <w:uiPriority w:val="0"/>
    <w:pPr>
      <w:snapToGrid w:val="0"/>
      <w:jc w:val="left"/>
    </w:pPr>
  </w:style>
  <w:style w:type="paragraph" w:styleId="19">
    <w:name w:val="Balloon Text"/>
    <w:basedOn w:val="1"/>
    <w:link w:val="147"/>
    <w:autoRedefine/>
    <w:qFormat/>
    <w:uiPriority w:val="0"/>
    <w:rPr>
      <w:sz w:val="18"/>
      <w:szCs w:val="18"/>
    </w:rPr>
  </w:style>
  <w:style w:type="paragraph" w:styleId="20">
    <w:name w:val="footer"/>
    <w:basedOn w:val="1"/>
    <w:autoRedefine/>
    <w:qFormat/>
    <w:uiPriority w:val="0"/>
    <w:pPr>
      <w:snapToGrid w:val="0"/>
      <w:ind w:right="210" w:rightChars="100"/>
      <w:jc w:val="right"/>
    </w:pPr>
    <w:rPr>
      <w:sz w:val="18"/>
      <w:szCs w:val="18"/>
    </w:rPr>
  </w:style>
  <w:style w:type="paragraph" w:styleId="21">
    <w:name w:val="header"/>
    <w:basedOn w:val="1"/>
    <w:autoRedefine/>
    <w:qFormat/>
    <w:uiPriority w:val="0"/>
    <w:pPr>
      <w:snapToGrid w:val="0"/>
      <w:jc w:val="left"/>
    </w:pPr>
    <w:rPr>
      <w:sz w:val="18"/>
      <w:szCs w:val="18"/>
    </w:rPr>
  </w:style>
  <w:style w:type="paragraph" w:styleId="22">
    <w:name w:val="toc 1"/>
    <w:basedOn w:val="1"/>
    <w:next w:val="1"/>
    <w:autoRedefine/>
    <w:qFormat/>
    <w:uiPriority w:val="39"/>
    <w:pPr>
      <w:tabs>
        <w:tab w:val="right" w:leader="dot" w:pos="9241"/>
      </w:tabs>
      <w:spacing w:beforeLines="25" w:afterLines="25"/>
      <w:jc w:val="left"/>
    </w:pPr>
    <w:rPr>
      <w:rFonts w:ascii="宋体"/>
      <w:szCs w:val="21"/>
    </w:rPr>
  </w:style>
  <w:style w:type="paragraph" w:styleId="23">
    <w:name w:val="toc 4"/>
    <w:basedOn w:val="1"/>
    <w:next w:val="1"/>
    <w:autoRedefine/>
    <w:semiHidden/>
    <w:qFormat/>
    <w:uiPriority w:val="0"/>
    <w:pPr>
      <w:tabs>
        <w:tab w:val="right" w:leader="dot" w:pos="9241"/>
      </w:tabs>
      <w:ind w:firstLine="198" w:firstLineChars="200"/>
      <w:jc w:val="left"/>
    </w:pPr>
    <w:rPr>
      <w:rFonts w:ascii="宋体"/>
      <w:szCs w:val="21"/>
    </w:rPr>
  </w:style>
  <w:style w:type="paragraph" w:styleId="24">
    <w:name w:val="index heading"/>
    <w:basedOn w:val="1"/>
    <w:next w:val="25"/>
    <w:autoRedefine/>
    <w:qFormat/>
    <w:uiPriority w:val="0"/>
    <w:pPr>
      <w:spacing w:before="120" w:after="120"/>
      <w:jc w:val="center"/>
    </w:pPr>
    <w:rPr>
      <w:rFonts w:ascii="Calibri" w:hAnsi="Calibri"/>
      <w:b/>
      <w:bCs/>
      <w:iCs/>
      <w:szCs w:val="20"/>
    </w:rPr>
  </w:style>
  <w:style w:type="paragraph" w:styleId="25">
    <w:name w:val="index 1"/>
    <w:basedOn w:val="1"/>
    <w:next w:val="26"/>
    <w:autoRedefine/>
    <w:qFormat/>
    <w:uiPriority w:val="0"/>
    <w:pPr>
      <w:tabs>
        <w:tab w:val="right" w:leader="dot" w:pos="9299"/>
      </w:tabs>
      <w:jc w:val="left"/>
    </w:pPr>
    <w:rPr>
      <w:rFonts w:ascii="宋体"/>
      <w:szCs w:val="21"/>
    </w:rPr>
  </w:style>
  <w:style w:type="paragraph" w:customStyle="1" w:styleId="26">
    <w:name w:val="段"/>
    <w:link w:val="47"/>
    <w:autoRedefine/>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27">
    <w:name w:val="footnote text"/>
    <w:basedOn w:val="1"/>
    <w:autoRedefine/>
    <w:qFormat/>
    <w:uiPriority w:val="0"/>
    <w:pPr>
      <w:numPr>
        <w:ilvl w:val="0"/>
        <w:numId w:val="1"/>
      </w:numPr>
      <w:snapToGrid w:val="0"/>
      <w:jc w:val="left"/>
    </w:pPr>
    <w:rPr>
      <w:rFonts w:ascii="宋体"/>
      <w:sz w:val="18"/>
      <w:szCs w:val="18"/>
    </w:rPr>
  </w:style>
  <w:style w:type="paragraph" w:styleId="28">
    <w:name w:val="toc 6"/>
    <w:basedOn w:val="1"/>
    <w:next w:val="1"/>
    <w:autoRedefine/>
    <w:semiHidden/>
    <w:qFormat/>
    <w:uiPriority w:val="0"/>
    <w:pPr>
      <w:tabs>
        <w:tab w:val="right" w:leader="dot" w:pos="9241"/>
      </w:tabs>
      <w:ind w:firstLine="403" w:firstLineChars="400"/>
      <w:jc w:val="left"/>
    </w:pPr>
    <w:rPr>
      <w:rFonts w:ascii="宋体"/>
      <w:szCs w:val="21"/>
    </w:rPr>
  </w:style>
  <w:style w:type="paragraph" w:styleId="29">
    <w:name w:val="index 7"/>
    <w:basedOn w:val="1"/>
    <w:next w:val="1"/>
    <w:autoRedefine/>
    <w:qFormat/>
    <w:uiPriority w:val="0"/>
    <w:pPr>
      <w:ind w:left="1470" w:hanging="210"/>
      <w:jc w:val="left"/>
    </w:pPr>
    <w:rPr>
      <w:rFonts w:ascii="Calibri" w:hAnsi="Calibri"/>
      <w:sz w:val="20"/>
      <w:szCs w:val="20"/>
    </w:rPr>
  </w:style>
  <w:style w:type="paragraph" w:styleId="30">
    <w:name w:val="index 9"/>
    <w:basedOn w:val="1"/>
    <w:next w:val="1"/>
    <w:autoRedefine/>
    <w:qFormat/>
    <w:uiPriority w:val="0"/>
    <w:pPr>
      <w:ind w:left="1890" w:hanging="210"/>
      <w:jc w:val="left"/>
    </w:pPr>
    <w:rPr>
      <w:rFonts w:ascii="Calibri" w:hAnsi="Calibri"/>
      <w:sz w:val="20"/>
      <w:szCs w:val="20"/>
    </w:rPr>
  </w:style>
  <w:style w:type="paragraph" w:styleId="31">
    <w:name w:val="toc 2"/>
    <w:basedOn w:val="1"/>
    <w:next w:val="1"/>
    <w:autoRedefine/>
    <w:semiHidden/>
    <w:qFormat/>
    <w:uiPriority w:val="0"/>
    <w:pPr>
      <w:tabs>
        <w:tab w:val="right" w:leader="dot" w:pos="9241"/>
      </w:tabs>
    </w:pPr>
    <w:rPr>
      <w:rFonts w:ascii="宋体"/>
      <w:szCs w:val="21"/>
    </w:rPr>
  </w:style>
  <w:style w:type="paragraph" w:styleId="32">
    <w:name w:val="toc 9"/>
    <w:basedOn w:val="1"/>
    <w:next w:val="1"/>
    <w:autoRedefine/>
    <w:semiHidden/>
    <w:qFormat/>
    <w:uiPriority w:val="0"/>
    <w:pPr>
      <w:ind w:left="1470"/>
      <w:jc w:val="left"/>
    </w:pPr>
    <w:rPr>
      <w:sz w:val="20"/>
      <w:szCs w:val="20"/>
    </w:rPr>
  </w:style>
  <w:style w:type="paragraph" w:styleId="33">
    <w:name w:val="Body Text 2"/>
    <w:basedOn w:val="1"/>
    <w:autoRedefine/>
    <w:qFormat/>
    <w:uiPriority w:val="99"/>
    <w:pPr>
      <w:widowControl/>
      <w:adjustRightInd w:val="0"/>
    </w:pPr>
    <w:rPr>
      <w:rFonts w:ascii="Calibri" w:hAnsi="Calibri"/>
      <w:lang w:val="zh-CN" w:bidi="en-US"/>
    </w:rPr>
  </w:style>
  <w:style w:type="paragraph" w:styleId="34">
    <w:name w:val="Normal (Web)"/>
    <w:basedOn w:val="1"/>
    <w:semiHidden/>
    <w:unhideWhenUsed/>
    <w:qFormat/>
    <w:uiPriority w:val="0"/>
    <w:pPr>
      <w:spacing w:beforeAutospacing="1" w:afterAutospacing="1"/>
      <w:jc w:val="left"/>
    </w:pPr>
    <w:rPr>
      <w:kern w:val="0"/>
      <w:sz w:val="24"/>
    </w:rPr>
  </w:style>
  <w:style w:type="paragraph" w:styleId="35">
    <w:name w:val="index 2"/>
    <w:basedOn w:val="1"/>
    <w:next w:val="1"/>
    <w:autoRedefine/>
    <w:qFormat/>
    <w:uiPriority w:val="0"/>
    <w:pPr>
      <w:ind w:left="420" w:hanging="210"/>
      <w:jc w:val="left"/>
    </w:pPr>
    <w:rPr>
      <w:rFonts w:ascii="Calibri" w:hAnsi="Calibri"/>
      <w:sz w:val="20"/>
      <w:szCs w:val="20"/>
    </w:rPr>
  </w:style>
  <w:style w:type="paragraph" w:styleId="36">
    <w:name w:val="annotation subject"/>
    <w:basedOn w:val="10"/>
    <w:next w:val="10"/>
    <w:link w:val="162"/>
    <w:semiHidden/>
    <w:unhideWhenUsed/>
    <w:qFormat/>
    <w:uiPriority w:val="0"/>
    <w:rPr>
      <w:b/>
      <w:bCs/>
    </w:rPr>
  </w:style>
  <w:style w:type="table" w:styleId="38">
    <w:name w:val="Table Grid"/>
    <w:basedOn w:val="37"/>
    <w:autoRedefine/>
    <w:qFormat/>
    <w:uiPriority w:val="39"/>
    <w:rPr>
      <w:rFonts w:ascii="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0">
    <w:name w:val="Strong"/>
    <w:basedOn w:val="39"/>
    <w:qFormat/>
    <w:uiPriority w:val="0"/>
    <w:rPr>
      <w:b/>
    </w:rPr>
  </w:style>
  <w:style w:type="character" w:styleId="41">
    <w:name w:val="endnote reference"/>
    <w:autoRedefine/>
    <w:semiHidden/>
    <w:qFormat/>
    <w:uiPriority w:val="0"/>
    <w:rPr>
      <w:vertAlign w:val="superscript"/>
    </w:rPr>
  </w:style>
  <w:style w:type="character" w:styleId="42">
    <w:name w:val="page number"/>
    <w:autoRedefine/>
    <w:qFormat/>
    <w:uiPriority w:val="0"/>
    <w:rPr>
      <w:rFonts w:ascii="Times New Roman" w:hAnsi="Times New Roman" w:eastAsia="宋体"/>
      <w:sz w:val="18"/>
    </w:rPr>
  </w:style>
  <w:style w:type="character" w:styleId="43">
    <w:name w:val="FollowedHyperlink"/>
    <w:autoRedefine/>
    <w:qFormat/>
    <w:uiPriority w:val="0"/>
    <w:rPr>
      <w:color w:val="800080"/>
      <w:u w:val="single"/>
    </w:rPr>
  </w:style>
  <w:style w:type="character" w:styleId="44">
    <w:name w:val="Hyperlink"/>
    <w:autoRedefine/>
    <w:qFormat/>
    <w:uiPriority w:val="99"/>
    <w:rPr>
      <w:color w:val="0000FF"/>
      <w:spacing w:val="0"/>
      <w:w w:val="100"/>
      <w:szCs w:val="21"/>
      <w:u w:val="single"/>
    </w:rPr>
  </w:style>
  <w:style w:type="character" w:styleId="45">
    <w:name w:val="annotation reference"/>
    <w:basedOn w:val="39"/>
    <w:semiHidden/>
    <w:unhideWhenUsed/>
    <w:qFormat/>
    <w:uiPriority w:val="0"/>
    <w:rPr>
      <w:sz w:val="21"/>
      <w:szCs w:val="21"/>
    </w:rPr>
  </w:style>
  <w:style w:type="character" w:styleId="46">
    <w:name w:val="footnote reference"/>
    <w:autoRedefine/>
    <w:semiHidden/>
    <w:qFormat/>
    <w:uiPriority w:val="0"/>
    <w:rPr>
      <w:vertAlign w:val="superscript"/>
    </w:rPr>
  </w:style>
  <w:style w:type="character" w:customStyle="1" w:styleId="47">
    <w:name w:val="段 Char"/>
    <w:link w:val="26"/>
    <w:autoRedefine/>
    <w:qFormat/>
    <w:uiPriority w:val="0"/>
    <w:rPr>
      <w:rFonts w:ascii="宋体"/>
      <w:sz w:val="21"/>
      <w:lang w:val="en-US" w:eastAsia="zh-CN" w:bidi="ar-SA"/>
    </w:rPr>
  </w:style>
  <w:style w:type="paragraph" w:customStyle="1" w:styleId="48">
    <w:name w:val="一级条标题"/>
    <w:next w:val="26"/>
    <w:autoRedefine/>
    <w:qFormat/>
    <w:uiPriority w:val="0"/>
    <w:pPr>
      <w:numPr>
        <w:ilvl w:val="1"/>
        <w:numId w:val="2"/>
      </w:numPr>
      <w:spacing w:beforeLines="50" w:afterLines="50"/>
      <w:outlineLvl w:val="2"/>
    </w:pPr>
    <w:rPr>
      <w:rFonts w:ascii="黑体" w:hAnsi="Times New Roman" w:eastAsia="黑体" w:cs="Times New Roman"/>
      <w:sz w:val="21"/>
      <w:szCs w:val="21"/>
      <w:lang w:val="en-US" w:eastAsia="zh-CN" w:bidi="ar-SA"/>
    </w:rPr>
  </w:style>
  <w:style w:type="paragraph" w:customStyle="1" w:styleId="49">
    <w:name w:val="标准书脚_奇数页"/>
    <w:autoRedefine/>
    <w:qFormat/>
    <w:uiPriority w:val="0"/>
    <w:pPr>
      <w:spacing w:before="120"/>
      <w:ind w:right="198"/>
      <w:jc w:val="right"/>
    </w:pPr>
    <w:rPr>
      <w:rFonts w:ascii="宋体" w:hAnsi="Times New Roman" w:eastAsia="宋体" w:cs="Times New Roman"/>
      <w:sz w:val="18"/>
      <w:szCs w:val="18"/>
      <w:lang w:val="en-US" w:eastAsia="zh-CN" w:bidi="ar-SA"/>
    </w:rPr>
  </w:style>
  <w:style w:type="paragraph" w:customStyle="1" w:styleId="50">
    <w:name w:val="标准书眉_奇数页"/>
    <w:next w:val="1"/>
    <w:autoRedefine/>
    <w:qFormat/>
    <w:uiPriority w:val="0"/>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51">
    <w:name w:val="章标题"/>
    <w:next w:val="26"/>
    <w:autoRedefine/>
    <w:qFormat/>
    <w:uiPriority w:val="0"/>
    <w:pPr>
      <w:numPr>
        <w:ilvl w:val="0"/>
        <w:numId w:val="2"/>
      </w:numPr>
      <w:spacing w:beforeLines="100" w:afterLines="100"/>
      <w:jc w:val="both"/>
      <w:outlineLvl w:val="1"/>
    </w:pPr>
    <w:rPr>
      <w:rFonts w:ascii="黑体" w:hAnsi="Times New Roman" w:eastAsia="黑体" w:cs="Times New Roman"/>
      <w:sz w:val="21"/>
      <w:lang w:val="en-US" w:eastAsia="zh-CN" w:bidi="ar-SA"/>
    </w:rPr>
  </w:style>
  <w:style w:type="paragraph" w:customStyle="1" w:styleId="52">
    <w:name w:val="二级条标题"/>
    <w:basedOn w:val="48"/>
    <w:next w:val="26"/>
    <w:autoRedefine/>
    <w:qFormat/>
    <w:uiPriority w:val="0"/>
    <w:pPr>
      <w:numPr>
        <w:ilvl w:val="2"/>
      </w:numPr>
      <w:spacing w:before="50" w:after="50"/>
      <w:outlineLvl w:val="3"/>
    </w:pPr>
  </w:style>
  <w:style w:type="paragraph" w:customStyle="1" w:styleId="53">
    <w:name w:val="封面标准号2"/>
    <w:autoRedefine/>
    <w:qFormat/>
    <w:uiPriority w:val="0"/>
    <w:pPr>
      <w:framePr w:w="9140" w:h="1242" w:hRule="exact" w:hSpace="284" w:wrap="around" w:vAnchor="page" w:hAnchor="page" w:x="1645" w:y="2910" w:anchorLock="1"/>
      <w:spacing w:before="357" w:line="280" w:lineRule="exact"/>
      <w:jc w:val="right"/>
    </w:pPr>
    <w:rPr>
      <w:rFonts w:ascii="黑体" w:hAnsi="Times New Roman" w:eastAsia="黑体" w:cs="Times New Roman"/>
      <w:sz w:val="28"/>
      <w:szCs w:val="28"/>
      <w:lang w:val="en-US" w:eastAsia="zh-CN" w:bidi="ar-SA"/>
    </w:rPr>
  </w:style>
  <w:style w:type="paragraph" w:customStyle="1" w:styleId="54">
    <w:name w:val="列项——（一级）"/>
    <w:autoRedefine/>
    <w:qFormat/>
    <w:uiPriority w:val="0"/>
    <w:pPr>
      <w:widowControl w:val="0"/>
      <w:numPr>
        <w:ilvl w:val="0"/>
        <w:numId w:val="3"/>
      </w:numPr>
      <w:jc w:val="both"/>
    </w:pPr>
    <w:rPr>
      <w:rFonts w:ascii="宋体" w:hAnsi="Times New Roman" w:eastAsia="宋体" w:cs="Times New Roman"/>
      <w:sz w:val="21"/>
      <w:lang w:val="en-US" w:eastAsia="zh-CN" w:bidi="ar-SA"/>
    </w:rPr>
  </w:style>
  <w:style w:type="paragraph" w:customStyle="1" w:styleId="55">
    <w:name w:val="列项●（二级）"/>
    <w:autoRedefine/>
    <w:qFormat/>
    <w:uiPriority w:val="0"/>
    <w:pPr>
      <w:numPr>
        <w:ilvl w:val="1"/>
        <w:numId w:val="3"/>
      </w:numPr>
      <w:tabs>
        <w:tab w:val="left" w:pos="840"/>
      </w:tabs>
      <w:jc w:val="both"/>
    </w:pPr>
    <w:rPr>
      <w:rFonts w:ascii="宋体" w:hAnsi="Times New Roman" w:eastAsia="宋体" w:cs="Times New Roman"/>
      <w:sz w:val="21"/>
      <w:lang w:val="en-US" w:eastAsia="zh-CN" w:bidi="ar-SA"/>
    </w:rPr>
  </w:style>
  <w:style w:type="paragraph" w:customStyle="1" w:styleId="56">
    <w:name w:val="目次、标准名称标题"/>
    <w:basedOn w:val="1"/>
    <w:next w:val="26"/>
    <w:link w:val="145"/>
    <w:autoRedefine/>
    <w:qFormat/>
    <w:uiPriority w:val="0"/>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57">
    <w:name w:val="三级条标题"/>
    <w:basedOn w:val="52"/>
    <w:next w:val="26"/>
    <w:autoRedefine/>
    <w:qFormat/>
    <w:uiPriority w:val="0"/>
    <w:pPr>
      <w:numPr>
        <w:ilvl w:val="3"/>
      </w:numPr>
      <w:outlineLvl w:val="4"/>
    </w:pPr>
  </w:style>
  <w:style w:type="paragraph" w:customStyle="1" w:styleId="58">
    <w:name w:val="示例"/>
    <w:next w:val="59"/>
    <w:autoRedefine/>
    <w:qFormat/>
    <w:uiPriority w:val="0"/>
    <w:pPr>
      <w:widowControl w:val="0"/>
      <w:numPr>
        <w:ilvl w:val="0"/>
        <w:numId w:val="4"/>
      </w:numPr>
      <w:jc w:val="both"/>
    </w:pPr>
    <w:rPr>
      <w:rFonts w:ascii="宋体" w:hAnsi="Times New Roman" w:eastAsia="宋体" w:cs="Times New Roman"/>
      <w:sz w:val="18"/>
      <w:szCs w:val="18"/>
      <w:lang w:val="en-US" w:eastAsia="zh-CN" w:bidi="ar-SA"/>
    </w:rPr>
  </w:style>
  <w:style w:type="paragraph" w:customStyle="1" w:styleId="59">
    <w:name w:val="示例内容"/>
    <w:autoRedefine/>
    <w:qFormat/>
    <w:uiPriority w:val="0"/>
    <w:pPr>
      <w:ind w:firstLine="200" w:firstLineChars="200"/>
    </w:pPr>
    <w:rPr>
      <w:rFonts w:ascii="宋体" w:hAnsi="Times New Roman" w:eastAsia="宋体" w:cs="Times New Roman"/>
      <w:sz w:val="18"/>
      <w:szCs w:val="18"/>
      <w:lang w:val="en-US" w:eastAsia="zh-CN" w:bidi="ar-SA"/>
    </w:rPr>
  </w:style>
  <w:style w:type="paragraph" w:customStyle="1" w:styleId="60">
    <w:name w:val="数字编号列项（二级）"/>
    <w:autoRedefine/>
    <w:qFormat/>
    <w:uiPriority w:val="0"/>
    <w:pPr>
      <w:numPr>
        <w:ilvl w:val="1"/>
        <w:numId w:val="5"/>
      </w:numPr>
      <w:jc w:val="both"/>
    </w:pPr>
    <w:rPr>
      <w:rFonts w:ascii="宋体" w:hAnsi="Times New Roman" w:eastAsia="宋体" w:cs="Times New Roman"/>
      <w:sz w:val="21"/>
      <w:lang w:val="en-US" w:eastAsia="zh-CN" w:bidi="ar-SA"/>
    </w:rPr>
  </w:style>
  <w:style w:type="paragraph" w:customStyle="1" w:styleId="61">
    <w:name w:val="四级条标题"/>
    <w:basedOn w:val="57"/>
    <w:next w:val="26"/>
    <w:autoRedefine/>
    <w:qFormat/>
    <w:uiPriority w:val="0"/>
    <w:pPr>
      <w:numPr>
        <w:ilvl w:val="4"/>
      </w:numPr>
      <w:outlineLvl w:val="5"/>
    </w:pPr>
  </w:style>
  <w:style w:type="paragraph" w:customStyle="1" w:styleId="62">
    <w:name w:val="五级条标题"/>
    <w:basedOn w:val="61"/>
    <w:next w:val="26"/>
    <w:autoRedefine/>
    <w:qFormat/>
    <w:uiPriority w:val="0"/>
    <w:pPr>
      <w:numPr>
        <w:ilvl w:val="5"/>
      </w:numPr>
      <w:outlineLvl w:val="6"/>
    </w:pPr>
  </w:style>
  <w:style w:type="paragraph" w:customStyle="1" w:styleId="63">
    <w:name w:val="注："/>
    <w:next w:val="26"/>
    <w:autoRedefine/>
    <w:qFormat/>
    <w:uiPriority w:val="0"/>
    <w:pPr>
      <w:widowControl w:val="0"/>
      <w:numPr>
        <w:ilvl w:val="0"/>
        <w:numId w:val="6"/>
      </w:numPr>
      <w:autoSpaceDE w:val="0"/>
      <w:autoSpaceDN w:val="0"/>
      <w:ind w:left="726" w:hanging="363"/>
      <w:jc w:val="both"/>
    </w:pPr>
    <w:rPr>
      <w:rFonts w:ascii="宋体" w:hAnsi="Times New Roman" w:eastAsia="宋体" w:cs="Times New Roman"/>
      <w:sz w:val="18"/>
      <w:szCs w:val="18"/>
      <w:lang w:val="en-US" w:eastAsia="zh-CN" w:bidi="ar-SA"/>
    </w:rPr>
  </w:style>
  <w:style w:type="paragraph" w:customStyle="1" w:styleId="64">
    <w:name w:val="注×："/>
    <w:autoRedefine/>
    <w:qFormat/>
    <w:uiPriority w:val="0"/>
    <w:pPr>
      <w:widowControl w:val="0"/>
      <w:numPr>
        <w:ilvl w:val="0"/>
        <w:numId w:val="7"/>
      </w:numPr>
      <w:autoSpaceDE w:val="0"/>
      <w:autoSpaceDN w:val="0"/>
      <w:ind w:left="811" w:hanging="448"/>
      <w:jc w:val="both"/>
    </w:pPr>
    <w:rPr>
      <w:rFonts w:ascii="宋体" w:hAnsi="Times New Roman" w:eastAsia="宋体" w:cs="Times New Roman"/>
      <w:sz w:val="18"/>
      <w:szCs w:val="18"/>
      <w:lang w:val="en-US" w:eastAsia="zh-CN" w:bidi="ar-SA"/>
    </w:rPr>
  </w:style>
  <w:style w:type="paragraph" w:customStyle="1" w:styleId="65">
    <w:name w:val="字母编号列项（一级）"/>
    <w:autoRedefine/>
    <w:qFormat/>
    <w:uiPriority w:val="0"/>
    <w:pPr>
      <w:numPr>
        <w:ilvl w:val="0"/>
        <w:numId w:val="5"/>
      </w:numPr>
      <w:jc w:val="both"/>
    </w:pPr>
    <w:rPr>
      <w:rFonts w:ascii="宋体" w:hAnsi="Times New Roman" w:eastAsia="宋体" w:cs="Times New Roman"/>
      <w:sz w:val="21"/>
      <w:lang w:val="en-US" w:eastAsia="zh-CN" w:bidi="ar-SA"/>
    </w:rPr>
  </w:style>
  <w:style w:type="paragraph" w:customStyle="1" w:styleId="66">
    <w:name w:val="列项◆（三级）"/>
    <w:basedOn w:val="1"/>
    <w:autoRedefine/>
    <w:qFormat/>
    <w:uiPriority w:val="0"/>
    <w:pPr>
      <w:numPr>
        <w:ilvl w:val="2"/>
        <w:numId w:val="3"/>
      </w:numPr>
    </w:pPr>
    <w:rPr>
      <w:rFonts w:ascii="宋体"/>
      <w:szCs w:val="21"/>
    </w:rPr>
  </w:style>
  <w:style w:type="paragraph" w:customStyle="1" w:styleId="67">
    <w:name w:val="编号列项（三级）"/>
    <w:autoRedefine/>
    <w:qFormat/>
    <w:uiPriority w:val="0"/>
    <w:pPr>
      <w:numPr>
        <w:ilvl w:val="2"/>
        <w:numId w:val="5"/>
      </w:numPr>
    </w:pPr>
    <w:rPr>
      <w:rFonts w:ascii="宋体" w:hAnsi="Times New Roman" w:eastAsia="宋体" w:cs="Times New Roman"/>
      <w:sz w:val="21"/>
      <w:lang w:val="en-US" w:eastAsia="zh-CN" w:bidi="ar-SA"/>
    </w:rPr>
  </w:style>
  <w:style w:type="paragraph" w:customStyle="1" w:styleId="68">
    <w:name w:val="示例×："/>
    <w:basedOn w:val="51"/>
    <w:qFormat/>
    <w:uiPriority w:val="0"/>
    <w:pPr>
      <w:numPr>
        <w:numId w:val="8"/>
      </w:numPr>
      <w:spacing w:beforeLines="0" w:afterLines="0"/>
      <w:outlineLvl w:val="9"/>
    </w:pPr>
    <w:rPr>
      <w:rFonts w:ascii="宋体" w:eastAsia="宋体"/>
      <w:sz w:val="18"/>
      <w:szCs w:val="18"/>
    </w:rPr>
  </w:style>
  <w:style w:type="paragraph" w:customStyle="1" w:styleId="69">
    <w:name w:val="二级无"/>
    <w:basedOn w:val="52"/>
    <w:autoRedefine/>
    <w:qFormat/>
    <w:uiPriority w:val="0"/>
    <w:pPr>
      <w:spacing w:beforeLines="0" w:afterLines="0"/>
    </w:pPr>
    <w:rPr>
      <w:rFonts w:ascii="宋体" w:eastAsia="宋体"/>
    </w:rPr>
  </w:style>
  <w:style w:type="paragraph" w:customStyle="1" w:styleId="70">
    <w:name w:val="注：（正文）"/>
    <w:basedOn w:val="63"/>
    <w:next w:val="26"/>
    <w:autoRedefine/>
    <w:qFormat/>
    <w:uiPriority w:val="0"/>
    <w:pPr>
      <w:numPr>
        <w:numId w:val="9"/>
      </w:numPr>
      <w:ind w:left="726" w:hanging="363"/>
    </w:pPr>
  </w:style>
  <w:style w:type="paragraph" w:customStyle="1" w:styleId="71">
    <w:name w:val="注×：（正文）"/>
    <w:autoRedefine/>
    <w:qFormat/>
    <w:uiPriority w:val="0"/>
    <w:pPr>
      <w:numPr>
        <w:ilvl w:val="0"/>
        <w:numId w:val="10"/>
      </w:numPr>
      <w:ind w:left="811" w:hanging="448"/>
      <w:jc w:val="both"/>
    </w:pPr>
    <w:rPr>
      <w:rFonts w:ascii="宋体" w:hAnsi="Times New Roman" w:eastAsia="宋体" w:cs="Times New Roman"/>
      <w:sz w:val="18"/>
      <w:szCs w:val="18"/>
      <w:lang w:val="en-US" w:eastAsia="zh-CN" w:bidi="ar-SA"/>
    </w:rPr>
  </w:style>
  <w:style w:type="paragraph" w:customStyle="1" w:styleId="72">
    <w:name w:val="标准标志"/>
    <w:next w:val="1"/>
    <w:autoRedefine/>
    <w:qFormat/>
    <w:uiPriority w:val="0"/>
    <w:pPr>
      <w:framePr w:w="2546" w:h="1389" w:hRule="exact" w:hSpace="181" w:vSpace="181" w:wrap="around" w:vAnchor="margin" w:hAnchor="margin" w:x="6522" w:y="398" w:anchorLock="1"/>
      <w:shd w:val="solid" w:color="FFFFFF" w:fill="FFFFFF"/>
      <w:spacing w:line="0" w:lineRule="atLeast"/>
      <w:jc w:val="right"/>
    </w:pPr>
    <w:rPr>
      <w:rFonts w:ascii="Times New Roman" w:hAnsi="Times New Roman" w:eastAsia="宋体" w:cs="Times New Roman"/>
      <w:b/>
      <w:w w:val="170"/>
      <w:sz w:val="96"/>
      <w:szCs w:val="96"/>
      <w:lang w:val="en-US" w:eastAsia="zh-CN" w:bidi="ar-SA"/>
    </w:rPr>
  </w:style>
  <w:style w:type="paragraph" w:customStyle="1" w:styleId="73">
    <w:name w:val="标准称谓"/>
    <w:next w:val="1"/>
    <w:autoRedefine/>
    <w:qFormat/>
    <w:uiPriority w:val="0"/>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48"/>
      <w:lang w:val="en-US" w:eastAsia="zh-CN" w:bidi="ar-SA"/>
    </w:rPr>
  </w:style>
  <w:style w:type="paragraph" w:customStyle="1" w:styleId="74">
    <w:name w:val="标准书脚_偶数页"/>
    <w:autoRedefine/>
    <w:qFormat/>
    <w:uiPriority w:val="0"/>
    <w:pPr>
      <w:spacing w:before="120"/>
      <w:ind w:left="221"/>
    </w:pPr>
    <w:rPr>
      <w:rFonts w:ascii="宋体" w:hAnsi="Times New Roman" w:eastAsia="宋体" w:cs="Times New Roman"/>
      <w:sz w:val="18"/>
      <w:szCs w:val="18"/>
      <w:lang w:val="en-US" w:eastAsia="zh-CN" w:bidi="ar-SA"/>
    </w:rPr>
  </w:style>
  <w:style w:type="paragraph" w:customStyle="1" w:styleId="75">
    <w:name w:val="标准书眉_偶数页"/>
    <w:basedOn w:val="50"/>
    <w:next w:val="1"/>
    <w:autoRedefine/>
    <w:qFormat/>
    <w:uiPriority w:val="0"/>
    <w:pPr>
      <w:jc w:val="left"/>
    </w:pPr>
  </w:style>
  <w:style w:type="paragraph" w:customStyle="1" w:styleId="76">
    <w:name w:val="标准书眉一"/>
    <w:autoRedefine/>
    <w:qFormat/>
    <w:uiPriority w:val="0"/>
    <w:pPr>
      <w:jc w:val="both"/>
    </w:pPr>
    <w:rPr>
      <w:rFonts w:ascii="Times New Roman" w:hAnsi="Times New Roman" w:eastAsia="宋体" w:cs="Times New Roman"/>
      <w:lang w:val="en-US" w:eastAsia="zh-CN" w:bidi="ar-SA"/>
    </w:rPr>
  </w:style>
  <w:style w:type="paragraph" w:customStyle="1" w:styleId="77">
    <w:name w:val="参考文献"/>
    <w:basedOn w:val="1"/>
    <w:next w:val="26"/>
    <w:autoRedefine/>
    <w:qFormat/>
    <w:uiPriority w:val="0"/>
    <w:pPr>
      <w:keepNext/>
      <w:pageBreakBefore/>
      <w:widowControl/>
      <w:shd w:val="clear" w:color="FFFFFF" w:fill="FFFFFF"/>
      <w:spacing w:before="640" w:after="200"/>
      <w:jc w:val="center"/>
      <w:outlineLvl w:val="0"/>
    </w:pPr>
    <w:rPr>
      <w:rFonts w:ascii="黑体" w:eastAsia="黑体"/>
      <w:kern w:val="0"/>
      <w:szCs w:val="20"/>
    </w:rPr>
  </w:style>
  <w:style w:type="paragraph" w:customStyle="1" w:styleId="78">
    <w:name w:val="参考文献、索引标题"/>
    <w:basedOn w:val="1"/>
    <w:next w:val="26"/>
    <w:autoRedefine/>
    <w:qFormat/>
    <w:uiPriority w:val="0"/>
    <w:pPr>
      <w:keepNext/>
      <w:pageBreakBefore/>
      <w:widowControl/>
      <w:shd w:val="clear" w:color="FFFFFF" w:fill="FFFFFF"/>
      <w:spacing w:before="640" w:after="200"/>
      <w:jc w:val="center"/>
      <w:outlineLvl w:val="0"/>
    </w:pPr>
    <w:rPr>
      <w:rFonts w:ascii="黑体" w:eastAsia="黑体"/>
      <w:kern w:val="0"/>
      <w:szCs w:val="20"/>
    </w:rPr>
  </w:style>
  <w:style w:type="character" w:customStyle="1" w:styleId="79">
    <w:name w:val="发布"/>
    <w:autoRedefine/>
    <w:qFormat/>
    <w:uiPriority w:val="0"/>
    <w:rPr>
      <w:rFonts w:ascii="黑体" w:eastAsia="黑体"/>
      <w:spacing w:val="85"/>
      <w:w w:val="100"/>
      <w:position w:val="3"/>
      <w:sz w:val="28"/>
      <w:szCs w:val="28"/>
    </w:rPr>
  </w:style>
  <w:style w:type="paragraph" w:customStyle="1" w:styleId="80">
    <w:name w:val="发布部门"/>
    <w:next w:val="26"/>
    <w:autoRedefine/>
    <w:qFormat/>
    <w:uiPriority w:val="0"/>
    <w:pPr>
      <w:framePr w:w="7938" w:h="1134" w:hRule="exact" w:hSpace="125" w:vSpace="181" w:wrap="around" w:vAnchor="page" w:hAnchor="page" w:x="2150" w:y="14630" w:anchorLock="1"/>
      <w:jc w:val="center"/>
    </w:pPr>
    <w:rPr>
      <w:rFonts w:ascii="宋体" w:hAnsi="Times New Roman" w:eastAsia="宋体" w:cs="Times New Roman"/>
      <w:b/>
      <w:spacing w:val="20"/>
      <w:w w:val="135"/>
      <w:sz w:val="28"/>
      <w:lang w:val="en-US" w:eastAsia="zh-CN" w:bidi="ar-SA"/>
    </w:rPr>
  </w:style>
  <w:style w:type="paragraph" w:customStyle="1" w:styleId="81">
    <w:name w:val="发布日期"/>
    <w:autoRedefine/>
    <w:qFormat/>
    <w:uiPriority w:val="0"/>
    <w:pPr>
      <w:framePr w:w="3997" w:h="471" w:hRule="exact" w:vSpace="181" w:wrap="around" w:vAnchor="margin" w:hAnchor="page" w:x="7089" w:y="14097" w:anchorLock="1"/>
    </w:pPr>
    <w:rPr>
      <w:rFonts w:ascii="Times New Roman" w:hAnsi="Times New Roman" w:eastAsia="黑体" w:cs="Times New Roman"/>
      <w:sz w:val="28"/>
      <w:lang w:val="en-US" w:eastAsia="zh-CN" w:bidi="ar-SA"/>
    </w:rPr>
  </w:style>
  <w:style w:type="paragraph" w:customStyle="1" w:styleId="82">
    <w:name w:val="封面标准代替信息"/>
    <w:autoRedefine/>
    <w:qFormat/>
    <w:uiPriority w:val="0"/>
    <w:pPr>
      <w:framePr w:w="9140" w:h="1242" w:hRule="exact" w:hSpace="284" w:wrap="around" w:vAnchor="page" w:hAnchor="page" w:x="1645" w:y="2910" w:anchorLock="1"/>
      <w:spacing w:before="57" w:line="280" w:lineRule="exact"/>
      <w:jc w:val="right"/>
    </w:pPr>
    <w:rPr>
      <w:rFonts w:ascii="宋体" w:hAnsi="Times New Roman" w:eastAsia="宋体" w:cs="Times New Roman"/>
      <w:sz w:val="21"/>
      <w:szCs w:val="21"/>
      <w:lang w:val="en-US" w:eastAsia="zh-CN" w:bidi="ar-SA"/>
    </w:rPr>
  </w:style>
  <w:style w:type="paragraph" w:customStyle="1" w:styleId="83">
    <w:name w:val="封面标准号1"/>
    <w:autoRedefine/>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84">
    <w:name w:val="封面标准名称"/>
    <w:autoRedefine/>
    <w:qFormat/>
    <w:uiPriority w:val="0"/>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85">
    <w:name w:val="封面标准英文名称"/>
    <w:basedOn w:val="84"/>
    <w:autoRedefine/>
    <w:qFormat/>
    <w:uiPriority w:val="0"/>
    <w:pPr>
      <w:framePr w:wrap="around"/>
      <w:spacing w:before="370" w:line="400" w:lineRule="exact"/>
    </w:pPr>
    <w:rPr>
      <w:rFonts w:ascii="Times New Roman"/>
      <w:sz w:val="28"/>
      <w:szCs w:val="28"/>
    </w:rPr>
  </w:style>
  <w:style w:type="paragraph" w:customStyle="1" w:styleId="86">
    <w:name w:val="封面一致性程度标识"/>
    <w:basedOn w:val="85"/>
    <w:autoRedefine/>
    <w:qFormat/>
    <w:uiPriority w:val="0"/>
    <w:pPr>
      <w:framePr w:wrap="around"/>
      <w:spacing w:before="440"/>
    </w:pPr>
    <w:rPr>
      <w:rFonts w:ascii="宋体" w:eastAsia="宋体"/>
    </w:rPr>
  </w:style>
  <w:style w:type="paragraph" w:customStyle="1" w:styleId="87">
    <w:name w:val="封面标准文稿类别"/>
    <w:basedOn w:val="86"/>
    <w:autoRedefine/>
    <w:qFormat/>
    <w:uiPriority w:val="0"/>
    <w:pPr>
      <w:framePr w:wrap="around"/>
      <w:spacing w:after="160" w:line="240" w:lineRule="auto"/>
    </w:pPr>
    <w:rPr>
      <w:sz w:val="24"/>
    </w:rPr>
  </w:style>
  <w:style w:type="paragraph" w:customStyle="1" w:styleId="88">
    <w:name w:val="封面标准文稿编辑信息"/>
    <w:basedOn w:val="87"/>
    <w:autoRedefine/>
    <w:qFormat/>
    <w:uiPriority w:val="0"/>
    <w:pPr>
      <w:framePr w:wrap="around"/>
      <w:spacing w:before="180" w:line="180" w:lineRule="exact"/>
    </w:pPr>
    <w:rPr>
      <w:sz w:val="21"/>
    </w:rPr>
  </w:style>
  <w:style w:type="paragraph" w:customStyle="1" w:styleId="89">
    <w:name w:val="封面正文"/>
    <w:autoRedefine/>
    <w:qFormat/>
    <w:uiPriority w:val="0"/>
    <w:pPr>
      <w:jc w:val="both"/>
    </w:pPr>
    <w:rPr>
      <w:rFonts w:ascii="Times New Roman" w:hAnsi="Times New Roman" w:eastAsia="宋体" w:cs="Times New Roman"/>
      <w:lang w:val="en-US" w:eastAsia="zh-CN" w:bidi="ar-SA"/>
    </w:rPr>
  </w:style>
  <w:style w:type="paragraph" w:customStyle="1" w:styleId="90">
    <w:name w:val="附录标识"/>
    <w:basedOn w:val="1"/>
    <w:next w:val="26"/>
    <w:autoRedefine/>
    <w:qFormat/>
    <w:uiPriority w:val="0"/>
    <w:pPr>
      <w:keepNext/>
      <w:widowControl/>
      <w:numPr>
        <w:ilvl w:val="0"/>
        <w:numId w:val="11"/>
      </w:numPr>
      <w:shd w:val="clear" w:color="FFFFFF" w:fill="FFFFFF"/>
      <w:tabs>
        <w:tab w:val="left" w:pos="6405"/>
      </w:tabs>
      <w:spacing w:before="640" w:after="280"/>
      <w:jc w:val="center"/>
      <w:outlineLvl w:val="0"/>
    </w:pPr>
    <w:rPr>
      <w:rFonts w:ascii="黑体" w:eastAsia="黑体"/>
      <w:kern w:val="0"/>
      <w:szCs w:val="20"/>
    </w:rPr>
  </w:style>
  <w:style w:type="paragraph" w:customStyle="1" w:styleId="91">
    <w:name w:val="附录标题"/>
    <w:basedOn w:val="26"/>
    <w:next w:val="26"/>
    <w:autoRedefine/>
    <w:qFormat/>
    <w:uiPriority w:val="0"/>
    <w:pPr>
      <w:ind w:firstLine="0" w:firstLineChars="0"/>
      <w:jc w:val="center"/>
    </w:pPr>
    <w:rPr>
      <w:rFonts w:ascii="黑体" w:eastAsia="黑体"/>
    </w:rPr>
  </w:style>
  <w:style w:type="paragraph" w:customStyle="1" w:styleId="92">
    <w:name w:val="附录表标号"/>
    <w:basedOn w:val="1"/>
    <w:next w:val="26"/>
    <w:autoRedefine/>
    <w:qFormat/>
    <w:uiPriority w:val="0"/>
    <w:pPr>
      <w:numPr>
        <w:ilvl w:val="0"/>
        <w:numId w:val="12"/>
      </w:numPr>
      <w:tabs>
        <w:tab w:val="clear" w:pos="0"/>
      </w:tabs>
      <w:spacing w:line="14" w:lineRule="exact"/>
      <w:ind w:left="811" w:hanging="448"/>
      <w:jc w:val="center"/>
      <w:outlineLvl w:val="0"/>
    </w:pPr>
    <w:rPr>
      <w:color w:val="FFFFFF"/>
    </w:rPr>
  </w:style>
  <w:style w:type="paragraph" w:customStyle="1" w:styleId="93">
    <w:name w:val="附录表标题"/>
    <w:basedOn w:val="1"/>
    <w:next w:val="26"/>
    <w:autoRedefine/>
    <w:qFormat/>
    <w:uiPriority w:val="0"/>
    <w:pPr>
      <w:numPr>
        <w:ilvl w:val="1"/>
        <w:numId w:val="12"/>
      </w:numPr>
      <w:spacing w:beforeLines="50" w:afterLines="50"/>
      <w:jc w:val="center"/>
    </w:pPr>
    <w:rPr>
      <w:rFonts w:ascii="黑体" w:eastAsia="黑体"/>
      <w:szCs w:val="21"/>
    </w:rPr>
  </w:style>
  <w:style w:type="paragraph" w:customStyle="1" w:styleId="94">
    <w:name w:val="附录二级条标题"/>
    <w:basedOn w:val="1"/>
    <w:next w:val="26"/>
    <w:autoRedefine/>
    <w:qFormat/>
    <w:uiPriority w:val="0"/>
    <w:pPr>
      <w:widowControl/>
      <w:numPr>
        <w:ilvl w:val="3"/>
        <w:numId w:val="11"/>
      </w:numPr>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95">
    <w:name w:val="附录二级无"/>
    <w:basedOn w:val="94"/>
    <w:autoRedefine/>
    <w:qFormat/>
    <w:uiPriority w:val="0"/>
    <w:pPr>
      <w:spacing w:beforeLines="0" w:afterLines="0"/>
    </w:pPr>
    <w:rPr>
      <w:rFonts w:ascii="宋体" w:eastAsia="宋体"/>
      <w:szCs w:val="21"/>
    </w:rPr>
  </w:style>
  <w:style w:type="paragraph" w:customStyle="1" w:styleId="96">
    <w:name w:val="附录公式"/>
    <w:basedOn w:val="26"/>
    <w:next w:val="26"/>
    <w:link w:val="97"/>
    <w:autoRedefine/>
    <w:qFormat/>
    <w:uiPriority w:val="0"/>
  </w:style>
  <w:style w:type="character" w:customStyle="1" w:styleId="97">
    <w:name w:val="附录公式 Char"/>
    <w:basedOn w:val="47"/>
    <w:link w:val="96"/>
    <w:autoRedefine/>
    <w:qFormat/>
    <w:uiPriority w:val="0"/>
    <w:rPr>
      <w:rFonts w:ascii="宋体"/>
      <w:sz w:val="21"/>
      <w:lang w:val="en-US" w:eastAsia="zh-CN" w:bidi="ar-SA"/>
    </w:rPr>
  </w:style>
  <w:style w:type="paragraph" w:customStyle="1" w:styleId="98">
    <w:name w:val="附录公式编号制表符"/>
    <w:basedOn w:val="1"/>
    <w:next w:val="26"/>
    <w:autoRedefine/>
    <w:qFormat/>
    <w:uiPriority w:val="0"/>
    <w:pPr>
      <w:widowControl/>
      <w:tabs>
        <w:tab w:val="center" w:pos="4201"/>
        <w:tab w:val="right" w:leader="dot" w:pos="9298"/>
      </w:tabs>
      <w:autoSpaceDE w:val="0"/>
      <w:autoSpaceDN w:val="0"/>
    </w:pPr>
    <w:rPr>
      <w:rFonts w:ascii="宋体"/>
      <w:kern w:val="0"/>
      <w:szCs w:val="20"/>
    </w:rPr>
  </w:style>
  <w:style w:type="paragraph" w:customStyle="1" w:styleId="99">
    <w:name w:val="附录三级条标题"/>
    <w:basedOn w:val="94"/>
    <w:next w:val="26"/>
    <w:autoRedefine/>
    <w:qFormat/>
    <w:uiPriority w:val="0"/>
    <w:pPr>
      <w:numPr>
        <w:ilvl w:val="4"/>
      </w:numPr>
      <w:tabs>
        <w:tab w:val="left" w:pos="360"/>
      </w:tabs>
      <w:outlineLvl w:val="4"/>
    </w:pPr>
  </w:style>
  <w:style w:type="paragraph" w:customStyle="1" w:styleId="100">
    <w:name w:val="附录三级无"/>
    <w:basedOn w:val="99"/>
    <w:autoRedefine/>
    <w:qFormat/>
    <w:uiPriority w:val="0"/>
    <w:pPr>
      <w:tabs>
        <w:tab w:val="clear" w:pos="360"/>
      </w:tabs>
      <w:spacing w:beforeLines="0" w:afterLines="0"/>
    </w:pPr>
    <w:rPr>
      <w:rFonts w:ascii="宋体" w:eastAsia="宋体"/>
      <w:szCs w:val="21"/>
    </w:rPr>
  </w:style>
  <w:style w:type="paragraph" w:customStyle="1" w:styleId="101">
    <w:name w:val="附录数字编号列项（二级）"/>
    <w:autoRedefine/>
    <w:qFormat/>
    <w:uiPriority w:val="0"/>
    <w:pPr>
      <w:numPr>
        <w:ilvl w:val="1"/>
        <w:numId w:val="13"/>
      </w:numPr>
    </w:pPr>
    <w:rPr>
      <w:rFonts w:ascii="宋体" w:hAnsi="Times New Roman" w:eastAsia="宋体" w:cs="Times New Roman"/>
      <w:sz w:val="21"/>
      <w:lang w:val="en-US" w:eastAsia="zh-CN" w:bidi="ar-SA"/>
    </w:rPr>
  </w:style>
  <w:style w:type="paragraph" w:customStyle="1" w:styleId="102">
    <w:name w:val="附录四级条标题"/>
    <w:basedOn w:val="99"/>
    <w:next w:val="26"/>
    <w:autoRedefine/>
    <w:qFormat/>
    <w:uiPriority w:val="0"/>
    <w:pPr>
      <w:numPr>
        <w:ilvl w:val="5"/>
      </w:numPr>
      <w:outlineLvl w:val="5"/>
    </w:pPr>
  </w:style>
  <w:style w:type="paragraph" w:customStyle="1" w:styleId="103">
    <w:name w:val="附录四级无"/>
    <w:basedOn w:val="102"/>
    <w:autoRedefine/>
    <w:qFormat/>
    <w:uiPriority w:val="0"/>
    <w:pPr>
      <w:tabs>
        <w:tab w:val="clear" w:pos="360"/>
      </w:tabs>
      <w:spacing w:beforeLines="0" w:afterLines="0"/>
    </w:pPr>
    <w:rPr>
      <w:rFonts w:ascii="宋体" w:eastAsia="宋体"/>
      <w:szCs w:val="21"/>
    </w:rPr>
  </w:style>
  <w:style w:type="paragraph" w:customStyle="1" w:styleId="104">
    <w:name w:val="附录图标号"/>
    <w:basedOn w:val="1"/>
    <w:autoRedefine/>
    <w:qFormat/>
    <w:uiPriority w:val="0"/>
    <w:pPr>
      <w:keepNext/>
      <w:pageBreakBefore/>
      <w:widowControl/>
      <w:numPr>
        <w:ilvl w:val="0"/>
        <w:numId w:val="14"/>
      </w:numPr>
      <w:spacing w:line="14" w:lineRule="exact"/>
      <w:ind w:left="0" w:firstLine="363"/>
      <w:jc w:val="center"/>
      <w:outlineLvl w:val="0"/>
    </w:pPr>
    <w:rPr>
      <w:color w:val="FFFFFF"/>
    </w:rPr>
  </w:style>
  <w:style w:type="paragraph" w:customStyle="1" w:styleId="105">
    <w:name w:val="附录图标题"/>
    <w:basedOn w:val="1"/>
    <w:next w:val="26"/>
    <w:autoRedefine/>
    <w:qFormat/>
    <w:uiPriority w:val="0"/>
    <w:pPr>
      <w:numPr>
        <w:ilvl w:val="1"/>
        <w:numId w:val="14"/>
      </w:numPr>
      <w:tabs>
        <w:tab w:val="left" w:pos="363"/>
      </w:tabs>
      <w:spacing w:beforeLines="50" w:afterLines="50"/>
      <w:ind w:left="0" w:firstLine="0"/>
      <w:jc w:val="center"/>
    </w:pPr>
    <w:rPr>
      <w:rFonts w:ascii="黑体" w:eastAsia="黑体"/>
      <w:szCs w:val="21"/>
    </w:rPr>
  </w:style>
  <w:style w:type="paragraph" w:customStyle="1" w:styleId="106">
    <w:name w:val="附录五级条标题"/>
    <w:basedOn w:val="102"/>
    <w:next w:val="26"/>
    <w:autoRedefine/>
    <w:qFormat/>
    <w:uiPriority w:val="0"/>
    <w:pPr>
      <w:numPr>
        <w:ilvl w:val="6"/>
      </w:numPr>
      <w:outlineLvl w:val="6"/>
    </w:pPr>
  </w:style>
  <w:style w:type="paragraph" w:customStyle="1" w:styleId="107">
    <w:name w:val="附录五级无"/>
    <w:basedOn w:val="106"/>
    <w:autoRedefine/>
    <w:qFormat/>
    <w:uiPriority w:val="0"/>
    <w:pPr>
      <w:tabs>
        <w:tab w:val="clear" w:pos="360"/>
      </w:tabs>
      <w:spacing w:beforeLines="0" w:afterLines="0"/>
    </w:pPr>
    <w:rPr>
      <w:rFonts w:ascii="宋体" w:eastAsia="宋体"/>
      <w:szCs w:val="21"/>
    </w:rPr>
  </w:style>
  <w:style w:type="paragraph" w:customStyle="1" w:styleId="108">
    <w:name w:val="附录章标题"/>
    <w:next w:val="26"/>
    <w:autoRedefine/>
    <w:qFormat/>
    <w:uiPriority w:val="0"/>
    <w:pPr>
      <w:numPr>
        <w:ilvl w:val="1"/>
        <w:numId w:val="11"/>
      </w:numPr>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109">
    <w:name w:val="附录一级条标题"/>
    <w:basedOn w:val="108"/>
    <w:next w:val="26"/>
    <w:autoRedefine/>
    <w:qFormat/>
    <w:uiPriority w:val="0"/>
    <w:pPr>
      <w:numPr>
        <w:ilvl w:val="2"/>
      </w:numPr>
      <w:tabs>
        <w:tab w:val="left" w:pos="360"/>
      </w:tabs>
      <w:autoSpaceDN w:val="0"/>
      <w:spacing w:beforeLines="50" w:afterLines="50"/>
      <w:outlineLvl w:val="2"/>
    </w:pPr>
  </w:style>
  <w:style w:type="paragraph" w:customStyle="1" w:styleId="110">
    <w:name w:val="附录一级无"/>
    <w:basedOn w:val="109"/>
    <w:autoRedefine/>
    <w:qFormat/>
    <w:uiPriority w:val="0"/>
    <w:pPr>
      <w:tabs>
        <w:tab w:val="clear" w:pos="360"/>
      </w:tabs>
      <w:spacing w:beforeLines="0" w:afterLines="0"/>
    </w:pPr>
    <w:rPr>
      <w:rFonts w:ascii="宋体" w:eastAsia="宋体"/>
      <w:szCs w:val="21"/>
    </w:rPr>
  </w:style>
  <w:style w:type="paragraph" w:customStyle="1" w:styleId="111">
    <w:name w:val="附录字母编号列项（一级）"/>
    <w:autoRedefine/>
    <w:qFormat/>
    <w:uiPriority w:val="0"/>
    <w:pPr>
      <w:numPr>
        <w:ilvl w:val="0"/>
        <w:numId w:val="13"/>
      </w:numPr>
    </w:pPr>
    <w:rPr>
      <w:rFonts w:ascii="宋体" w:hAnsi="Times New Roman" w:eastAsia="宋体" w:cs="Times New Roman"/>
      <w:sz w:val="21"/>
      <w:lang w:val="en-US" w:eastAsia="zh-CN" w:bidi="ar-SA"/>
    </w:rPr>
  </w:style>
  <w:style w:type="paragraph" w:customStyle="1" w:styleId="112">
    <w:name w:val="列项说明"/>
    <w:basedOn w:val="1"/>
    <w:autoRedefine/>
    <w:qFormat/>
    <w:uiPriority w:val="0"/>
    <w:pPr>
      <w:adjustRightInd w:val="0"/>
      <w:spacing w:line="320" w:lineRule="exact"/>
      <w:ind w:left="400" w:leftChars="200" w:hanging="200" w:hangingChars="200"/>
      <w:jc w:val="left"/>
      <w:textAlignment w:val="baseline"/>
    </w:pPr>
    <w:rPr>
      <w:rFonts w:ascii="宋体"/>
      <w:kern w:val="0"/>
      <w:szCs w:val="20"/>
    </w:rPr>
  </w:style>
  <w:style w:type="paragraph" w:customStyle="1" w:styleId="113">
    <w:name w:val="列项说明数字编号"/>
    <w:autoRedefine/>
    <w:qFormat/>
    <w:uiPriority w:val="0"/>
    <w:pPr>
      <w:ind w:left="600" w:leftChars="400" w:hanging="200" w:hangingChars="200"/>
    </w:pPr>
    <w:rPr>
      <w:rFonts w:ascii="宋体" w:hAnsi="Times New Roman" w:eastAsia="宋体" w:cs="Times New Roman"/>
      <w:sz w:val="21"/>
      <w:lang w:val="en-US" w:eastAsia="zh-CN" w:bidi="ar-SA"/>
    </w:rPr>
  </w:style>
  <w:style w:type="paragraph" w:customStyle="1" w:styleId="114">
    <w:name w:val="目次、索引正文"/>
    <w:autoRedefine/>
    <w:qFormat/>
    <w:uiPriority w:val="0"/>
    <w:pPr>
      <w:spacing w:line="320" w:lineRule="exact"/>
      <w:jc w:val="both"/>
    </w:pPr>
    <w:rPr>
      <w:rFonts w:ascii="宋体" w:hAnsi="Times New Roman" w:eastAsia="宋体" w:cs="Times New Roman"/>
      <w:sz w:val="21"/>
      <w:lang w:val="en-US" w:eastAsia="zh-CN" w:bidi="ar-SA"/>
    </w:rPr>
  </w:style>
  <w:style w:type="paragraph" w:customStyle="1" w:styleId="115">
    <w:name w:val="其他标准标志"/>
    <w:basedOn w:val="72"/>
    <w:autoRedefine/>
    <w:qFormat/>
    <w:uiPriority w:val="0"/>
    <w:pPr>
      <w:framePr w:w="6101" w:wrap="around" w:vAnchor="page" w:hAnchor="page" w:x="4673" w:y="942"/>
    </w:pPr>
    <w:rPr>
      <w:w w:val="130"/>
    </w:rPr>
  </w:style>
  <w:style w:type="paragraph" w:customStyle="1" w:styleId="116">
    <w:name w:val="其他标准称谓"/>
    <w:next w:val="1"/>
    <w:autoRedefine/>
    <w:qFormat/>
    <w:uiPriority w:val="0"/>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117">
    <w:name w:val="其他发布部门"/>
    <w:basedOn w:val="80"/>
    <w:autoRedefine/>
    <w:qFormat/>
    <w:uiPriority w:val="0"/>
    <w:pPr>
      <w:framePr w:wrap="around" w:y="15310"/>
      <w:spacing w:line="0" w:lineRule="atLeast"/>
    </w:pPr>
    <w:rPr>
      <w:rFonts w:ascii="黑体" w:eastAsia="黑体"/>
      <w:b w:val="0"/>
    </w:rPr>
  </w:style>
  <w:style w:type="paragraph" w:customStyle="1" w:styleId="118">
    <w:name w:val="前言、引言标题"/>
    <w:next w:val="26"/>
    <w:autoRedefine/>
    <w:qFormat/>
    <w:uiPriority w:val="0"/>
    <w:pPr>
      <w:keepNext/>
      <w:pageBreakBefore/>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19">
    <w:name w:val="三级无"/>
    <w:basedOn w:val="57"/>
    <w:autoRedefine/>
    <w:qFormat/>
    <w:uiPriority w:val="0"/>
    <w:pPr>
      <w:spacing w:beforeLines="0" w:afterLines="0"/>
    </w:pPr>
    <w:rPr>
      <w:rFonts w:ascii="宋体" w:eastAsia="宋体"/>
    </w:rPr>
  </w:style>
  <w:style w:type="paragraph" w:customStyle="1" w:styleId="120">
    <w:name w:val="实施日期"/>
    <w:autoRedefine/>
    <w:qFormat/>
    <w:uiPriority w:val="0"/>
    <w:pPr>
      <w:framePr w:w="3997" w:h="471" w:hRule="exact" w:vSpace="181" w:wrap="around" w:vAnchor="page" w:hAnchor="page" w:x="7089" w:y="14097"/>
      <w:jc w:val="right"/>
    </w:pPr>
    <w:rPr>
      <w:rFonts w:ascii="Times New Roman" w:hAnsi="Times New Roman" w:eastAsia="黑体" w:cs="Times New Roman"/>
      <w:sz w:val="28"/>
      <w:lang w:val="en-US" w:eastAsia="zh-CN" w:bidi="ar-SA"/>
    </w:rPr>
  </w:style>
  <w:style w:type="paragraph" w:customStyle="1" w:styleId="121">
    <w:name w:val="示例后文字"/>
    <w:basedOn w:val="26"/>
    <w:next w:val="26"/>
    <w:autoRedefine/>
    <w:qFormat/>
    <w:uiPriority w:val="0"/>
    <w:pPr>
      <w:ind w:firstLine="360"/>
    </w:pPr>
    <w:rPr>
      <w:sz w:val="18"/>
    </w:rPr>
  </w:style>
  <w:style w:type="paragraph" w:customStyle="1" w:styleId="122">
    <w:name w:val="首示例"/>
    <w:next w:val="26"/>
    <w:link w:val="123"/>
    <w:autoRedefine/>
    <w:qFormat/>
    <w:uiPriority w:val="0"/>
    <w:pPr>
      <w:tabs>
        <w:tab w:val="left" w:pos="360"/>
      </w:tabs>
    </w:pPr>
    <w:rPr>
      <w:rFonts w:ascii="宋体" w:hAnsi="宋体" w:eastAsia="宋体" w:cs="Times New Roman"/>
      <w:kern w:val="2"/>
      <w:sz w:val="18"/>
      <w:szCs w:val="18"/>
      <w:lang w:val="en-US" w:eastAsia="zh-CN" w:bidi="ar-SA"/>
    </w:rPr>
  </w:style>
  <w:style w:type="character" w:customStyle="1" w:styleId="123">
    <w:name w:val="首示例 Char"/>
    <w:link w:val="122"/>
    <w:autoRedefine/>
    <w:qFormat/>
    <w:uiPriority w:val="0"/>
    <w:rPr>
      <w:rFonts w:ascii="宋体" w:hAnsi="宋体"/>
      <w:kern w:val="2"/>
      <w:sz w:val="18"/>
      <w:szCs w:val="18"/>
    </w:rPr>
  </w:style>
  <w:style w:type="paragraph" w:customStyle="1" w:styleId="124">
    <w:name w:val="四级无"/>
    <w:basedOn w:val="61"/>
    <w:autoRedefine/>
    <w:qFormat/>
    <w:uiPriority w:val="0"/>
    <w:pPr>
      <w:spacing w:beforeLines="0" w:afterLines="0"/>
    </w:pPr>
    <w:rPr>
      <w:rFonts w:ascii="宋体" w:eastAsia="宋体"/>
    </w:rPr>
  </w:style>
  <w:style w:type="paragraph" w:customStyle="1" w:styleId="125">
    <w:name w:val="条文脚注"/>
    <w:basedOn w:val="27"/>
    <w:autoRedefine/>
    <w:qFormat/>
    <w:uiPriority w:val="0"/>
    <w:pPr>
      <w:numPr>
        <w:numId w:val="0"/>
      </w:numPr>
      <w:jc w:val="both"/>
    </w:pPr>
  </w:style>
  <w:style w:type="paragraph" w:customStyle="1" w:styleId="126">
    <w:name w:val="图标脚注说明"/>
    <w:basedOn w:val="26"/>
    <w:autoRedefine/>
    <w:qFormat/>
    <w:uiPriority w:val="0"/>
    <w:pPr>
      <w:ind w:left="840" w:hanging="420" w:firstLineChars="0"/>
    </w:pPr>
    <w:rPr>
      <w:sz w:val="18"/>
      <w:szCs w:val="18"/>
    </w:rPr>
  </w:style>
  <w:style w:type="paragraph" w:customStyle="1" w:styleId="127">
    <w:name w:val="图表脚注说明"/>
    <w:basedOn w:val="1"/>
    <w:autoRedefine/>
    <w:qFormat/>
    <w:uiPriority w:val="0"/>
    <w:pPr>
      <w:numPr>
        <w:ilvl w:val="0"/>
        <w:numId w:val="15"/>
      </w:numPr>
    </w:pPr>
    <w:rPr>
      <w:rFonts w:ascii="宋体"/>
      <w:sz w:val="18"/>
      <w:szCs w:val="18"/>
    </w:rPr>
  </w:style>
  <w:style w:type="paragraph" w:customStyle="1" w:styleId="128">
    <w:name w:val="图的脚注"/>
    <w:next w:val="26"/>
    <w:autoRedefine/>
    <w:qFormat/>
    <w:uiPriority w:val="0"/>
    <w:pPr>
      <w:widowControl w:val="0"/>
      <w:ind w:left="840" w:leftChars="200" w:hanging="420" w:hangingChars="200"/>
      <w:jc w:val="both"/>
    </w:pPr>
    <w:rPr>
      <w:rFonts w:ascii="宋体" w:hAnsi="Times New Roman" w:eastAsia="宋体" w:cs="Times New Roman"/>
      <w:sz w:val="18"/>
      <w:lang w:val="en-US" w:eastAsia="zh-CN" w:bidi="ar-SA"/>
    </w:rPr>
  </w:style>
  <w:style w:type="paragraph" w:customStyle="1" w:styleId="129">
    <w:name w:val="文献分类号"/>
    <w:autoRedefine/>
    <w:qFormat/>
    <w:uiPriority w:val="0"/>
    <w:pPr>
      <w:framePr w:hSpace="180" w:vSpace="180" w:wrap="around" w:vAnchor="margin" w:hAnchor="margin" w:y="1" w:anchorLock="1"/>
      <w:widowControl w:val="0"/>
      <w:textAlignment w:val="center"/>
    </w:pPr>
    <w:rPr>
      <w:rFonts w:ascii="黑体" w:hAnsi="Times New Roman" w:eastAsia="黑体" w:cs="Times New Roman"/>
      <w:sz w:val="21"/>
      <w:szCs w:val="21"/>
      <w:lang w:val="en-US" w:eastAsia="zh-CN" w:bidi="ar-SA"/>
    </w:rPr>
  </w:style>
  <w:style w:type="paragraph" w:customStyle="1" w:styleId="130">
    <w:name w:val="五级无"/>
    <w:basedOn w:val="62"/>
    <w:autoRedefine/>
    <w:qFormat/>
    <w:uiPriority w:val="0"/>
    <w:pPr>
      <w:spacing w:beforeLines="0" w:afterLines="0"/>
    </w:pPr>
    <w:rPr>
      <w:rFonts w:ascii="宋体" w:eastAsia="宋体"/>
    </w:rPr>
  </w:style>
  <w:style w:type="paragraph" w:customStyle="1" w:styleId="131">
    <w:name w:val="一级无"/>
    <w:basedOn w:val="48"/>
    <w:autoRedefine/>
    <w:qFormat/>
    <w:uiPriority w:val="0"/>
    <w:pPr>
      <w:spacing w:beforeLines="0" w:afterLines="0"/>
    </w:pPr>
    <w:rPr>
      <w:rFonts w:ascii="宋体" w:eastAsia="宋体"/>
    </w:rPr>
  </w:style>
  <w:style w:type="paragraph" w:customStyle="1" w:styleId="132">
    <w:name w:val="正文表标题"/>
    <w:next w:val="26"/>
    <w:autoRedefine/>
    <w:qFormat/>
    <w:uiPriority w:val="0"/>
    <w:pPr>
      <w:numPr>
        <w:ilvl w:val="0"/>
        <w:numId w:val="16"/>
      </w:numPr>
      <w:spacing w:beforeLines="50" w:afterLines="50"/>
      <w:jc w:val="center"/>
    </w:pPr>
    <w:rPr>
      <w:rFonts w:ascii="黑体" w:hAnsi="Times New Roman" w:eastAsia="黑体" w:cs="Times New Roman"/>
      <w:sz w:val="21"/>
      <w:lang w:val="en-US" w:eastAsia="zh-CN" w:bidi="ar-SA"/>
    </w:rPr>
  </w:style>
  <w:style w:type="paragraph" w:customStyle="1" w:styleId="133">
    <w:name w:val="正文公式编号制表符"/>
    <w:basedOn w:val="26"/>
    <w:next w:val="26"/>
    <w:autoRedefine/>
    <w:qFormat/>
    <w:uiPriority w:val="0"/>
    <w:pPr>
      <w:ind w:firstLine="0" w:firstLineChars="0"/>
    </w:pPr>
  </w:style>
  <w:style w:type="paragraph" w:customStyle="1" w:styleId="134">
    <w:name w:val="正文图标题"/>
    <w:next w:val="26"/>
    <w:autoRedefine/>
    <w:qFormat/>
    <w:uiPriority w:val="0"/>
    <w:pPr>
      <w:numPr>
        <w:ilvl w:val="0"/>
        <w:numId w:val="17"/>
      </w:numPr>
      <w:spacing w:beforeLines="50" w:afterLines="50"/>
      <w:jc w:val="center"/>
    </w:pPr>
    <w:rPr>
      <w:rFonts w:ascii="黑体" w:hAnsi="Times New Roman" w:eastAsia="黑体" w:cs="Times New Roman"/>
      <w:sz w:val="21"/>
      <w:lang w:val="en-US" w:eastAsia="zh-CN" w:bidi="ar-SA"/>
    </w:rPr>
  </w:style>
  <w:style w:type="paragraph" w:customStyle="1" w:styleId="135">
    <w:name w:val="终结线"/>
    <w:basedOn w:val="1"/>
    <w:autoRedefine/>
    <w:qFormat/>
    <w:uiPriority w:val="0"/>
    <w:pPr>
      <w:framePr w:hSpace="181" w:vSpace="181" w:wrap="around" w:vAnchor="text" w:hAnchor="margin" w:xAlign="center" w:y="285"/>
    </w:pPr>
  </w:style>
  <w:style w:type="paragraph" w:customStyle="1" w:styleId="136">
    <w:name w:val="其他发布日期"/>
    <w:autoRedefine/>
    <w:qFormat/>
    <w:uiPriority w:val="0"/>
    <w:pPr>
      <w:framePr w:w="3997" w:h="471" w:hRule="exact" w:vSpace="181" w:wrap="around" w:vAnchor="page" w:hAnchor="page" w:x="1419" w:y="14097" w:anchorLock="1"/>
    </w:pPr>
    <w:rPr>
      <w:rFonts w:ascii="Times New Roman" w:hAnsi="Times New Roman" w:eastAsia="黑体" w:cs="Times New Roman"/>
      <w:sz w:val="28"/>
      <w:lang w:val="en-US" w:eastAsia="zh-CN" w:bidi="ar-SA"/>
    </w:rPr>
  </w:style>
  <w:style w:type="paragraph" w:customStyle="1" w:styleId="137">
    <w:name w:val="其他实施日期"/>
    <w:basedOn w:val="120"/>
    <w:autoRedefine/>
    <w:qFormat/>
    <w:uiPriority w:val="0"/>
    <w:pPr>
      <w:framePr w:wrap="around"/>
    </w:pPr>
  </w:style>
  <w:style w:type="paragraph" w:customStyle="1" w:styleId="138">
    <w:name w:val="封面标准名称2"/>
    <w:basedOn w:val="84"/>
    <w:autoRedefine/>
    <w:qFormat/>
    <w:uiPriority w:val="0"/>
    <w:pPr>
      <w:framePr w:wrap="around" w:y="4469"/>
      <w:spacing w:beforeLines="630"/>
    </w:pPr>
  </w:style>
  <w:style w:type="paragraph" w:customStyle="1" w:styleId="139">
    <w:name w:val="封面标准英文名称2"/>
    <w:basedOn w:val="85"/>
    <w:autoRedefine/>
    <w:qFormat/>
    <w:uiPriority w:val="0"/>
    <w:pPr>
      <w:framePr w:wrap="around" w:y="4469"/>
    </w:pPr>
  </w:style>
  <w:style w:type="paragraph" w:customStyle="1" w:styleId="140">
    <w:name w:val="封面一致性程度标识2"/>
    <w:basedOn w:val="86"/>
    <w:autoRedefine/>
    <w:qFormat/>
    <w:uiPriority w:val="0"/>
    <w:pPr>
      <w:framePr w:wrap="around" w:y="4469"/>
    </w:pPr>
  </w:style>
  <w:style w:type="paragraph" w:customStyle="1" w:styleId="141">
    <w:name w:val="封面标准文稿类别2"/>
    <w:basedOn w:val="87"/>
    <w:autoRedefine/>
    <w:qFormat/>
    <w:uiPriority w:val="0"/>
    <w:pPr>
      <w:framePr w:wrap="around" w:y="4469"/>
    </w:pPr>
  </w:style>
  <w:style w:type="paragraph" w:customStyle="1" w:styleId="142">
    <w:name w:val="封面标准文稿编辑信息2"/>
    <w:basedOn w:val="88"/>
    <w:autoRedefine/>
    <w:qFormat/>
    <w:uiPriority w:val="0"/>
    <w:pPr>
      <w:framePr w:wrap="around" w:y="4469"/>
    </w:pPr>
  </w:style>
  <w:style w:type="paragraph" w:customStyle="1" w:styleId="143">
    <w:name w:val="标准名称"/>
    <w:basedOn w:val="56"/>
    <w:link w:val="146"/>
    <w:autoRedefine/>
    <w:qFormat/>
    <w:uiPriority w:val="0"/>
  </w:style>
  <w:style w:type="character" w:styleId="144">
    <w:name w:val="Placeholder Text"/>
    <w:basedOn w:val="39"/>
    <w:autoRedefine/>
    <w:semiHidden/>
    <w:qFormat/>
    <w:uiPriority w:val="99"/>
    <w:rPr>
      <w:color w:val="808080"/>
    </w:rPr>
  </w:style>
  <w:style w:type="character" w:customStyle="1" w:styleId="145">
    <w:name w:val="目次、标准名称标题 Char"/>
    <w:basedOn w:val="39"/>
    <w:link w:val="56"/>
    <w:autoRedefine/>
    <w:qFormat/>
    <w:uiPriority w:val="0"/>
    <w:rPr>
      <w:rFonts w:ascii="黑体" w:eastAsia="黑体"/>
      <w:sz w:val="32"/>
      <w:shd w:val="clear" w:color="FFFFFF" w:fill="FFFFFF"/>
    </w:rPr>
  </w:style>
  <w:style w:type="character" w:customStyle="1" w:styleId="146">
    <w:name w:val="标准名称 Char"/>
    <w:basedOn w:val="145"/>
    <w:link w:val="143"/>
    <w:autoRedefine/>
    <w:qFormat/>
    <w:uiPriority w:val="0"/>
    <w:rPr>
      <w:rFonts w:ascii="黑体" w:eastAsia="黑体"/>
      <w:sz w:val="32"/>
      <w:shd w:val="clear" w:color="FFFFFF" w:fill="FFFFFF"/>
    </w:rPr>
  </w:style>
  <w:style w:type="character" w:customStyle="1" w:styleId="147">
    <w:name w:val="批注框文本 字符"/>
    <w:basedOn w:val="39"/>
    <w:link w:val="19"/>
    <w:autoRedefine/>
    <w:qFormat/>
    <w:uiPriority w:val="0"/>
    <w:rPr>
      <w:kern w:val="2"/>
      <w:sz w:val="18"/>
      <w:szCs w:val="18"/>
    </w:rPr>
  </w:style>
  <w:style w:type="paragraph" w:customStyle="1" w:styleId="148">
    <w:name w:val="标准文件_二级条标题"/>
    <w:next w:val="1"/>
    <w:autoRedefine/>
    <w:qFormat/>
    <w:uiPriority w:val="0"/>
    <w:pPr>
      <w:widowControl w:val="0"/>
      <w:numPr>
        <w:ilvl w:val="3"/>
        <w:numId w:val="18"/>
      </w:numPr>
      <w:spacing w:beforeLines="50" w:afterLines="50"/>
      <w:jc w:val="both"/>
      <w:outlineLvl w:val="2"/>
    </w:pPr>
    <w:rPr>
      <w:rFonts w:ascii="黑体" w:hAnsi="Times New Roman" w:eastAsia="黑体" w:cs="Times New Roman"/>
      <w:sz w:val="21"/>
      <w:lang w:val="en-US" w:eastAsia="zh-CN" w:bidi="ar-SA"/>
    </w:rPr>
  </w:style>
  <w:style w:type="paragraph" w:customStyle="1" w:styleId="149">
    <w:name w:val="标准文件_三级条标题"/>
    <w:basedOn w:val="148"/>
    <w:next w:val="1"/>
    <w:autoRedefine/>
    <w:qFormat/>
    <w:uiPriority w:val="0"/>
    <w:pPr>
      <w:widowControl/>
      <w:numPr>
        <w:ilvl w:val="4"/>
      </w:numPr>
      <w:outlineLvl w:val="3"/>
    </w:pPr>
  </w:style>
  <w:style w:type="paragraph" w:customStyle="1" w:styleId="150">
    <w:name w:val="标准文件_四级条标题"/>
    <w:next w:val="1"/>
    <w:autoRedefine/>
    <w:qFormat/>
    <w:uiPriority w:val="0"/>
    <w:pPr>
      <w:widowControl w:val="0"/>
      <w:numPr>
        <w:ilvl w:val="5"/>
        <w:numId w:val="18"/>
      </w:numPr>
      <w:spacing w:beforeLines="50" w:afterLines="50"/>
      <w:jc w:val="both"/>
      <w:outlineLvl w:val="4"/>
    </w:pPr>
    <w:rPr>
      <w:rFonts w:ascii="黑体" w:hAnsi="Times New Roman" w:eastAsia="黑体" w:cs="Times New Roman"/>
      <w:sz w:val="21"/>
      <w:lang w:val="en-US" w:eastAsia="zh-CN" w:bidi="ar-SA"/>
    </w:rPr>
  </w:style>
  <w:style w:type="paragraph" w:customStyle="1" w:styleId="151">
    <w:name w:val="标准文件_五级条标题"/>
    <w:next w:val="1"/>
    <w:autoRedefine/>
    <w:qFormat/>
    <w:uiPriority w:val="0"/>
    <w:pPr>
      <w:widowControl w:val="0"/>
      <w:numPr>
        <w:ilvl w:val="6"/>
        <w:numId w:val="18"/>
      </w:numPr>
      <w:spacing w:beforeLines="50" w:afterLines="50"/>
      <w:jc w:val="both"/>
      <w:outlineLvl w:val="5"/>
    </w:pPr>
    <w:rPr>
      <w:rFonts w:ascii="黑体" w:hAnsi="Times New Roman" w:eastAsia="黑体" w:cs="Times New Roman"/>
      <w:sz w:val="21"/>
      <w:lang w:val="en-US" w:eastAsia="zh-CN" w:bidi="ar-SA"/>
    </w:rPr>
  </w:style>
  <w:style w:type="paragraph" w:customStyle="1" w:styleId="152">
    <w:name w:val="标准文件_章标题"/>
    <w:next w:val="1"/>
    <w:autoRedefine/>
    <w:qFormat/>
    <w:uiPriority w:val="0"/>
    <w:pPr>
      <w:numPr>
        <w:ilvl w:val="1"/>
        <w:numId w:val="18"/>
      </w:numPr>
      <w:spacing w:beforeLines="100" w:afterLines="100"/>
      <w:jc w:val="both"/>
      <w:outlineLvl w:val="0"/>
    </w:pPr>
    <w:rPr>
      <w:rFonts w:ascii="黑体" w:hAnsi="Times New Roman" w:eastAsia="黑体" w:cs="Times New Roman"/>
      <w:sz w:val="21"/>
      <w:lang w:val="en-US" w:eastAsia="zh-CN" w:bidi="ar-SA"/>
    </w:rPr>
  </w:style>
  <w:style w:type="paragraph" w:customStyle="1" w:styleId="153">
    <w:name w:val="标准文件_一级条标题"/>
    <w:basedOn w:val="152"/>
    <w:next w:val="1"/>
    <w:autoRedefine/>
    <w:qFormat/>
    <w:uiPriority w:val="0"/>
    <w:pPr>
      <w:numPr>
        <w:ilvl w:val="2"/>
      </w:numPr>
      <w:spacing w:beforeLines="50" w:afterLines="50"/>
      <w:outlineLvl w:val="1"/>
    </w:pPr>
  </w:style>
  <w:style w:type="paragraph" w:customStyle="1" w:styleId="154">
    <w:name w:val="前言标题"/>
    <w:next w:val="1"/>
    <w:autoRedefine/>
    <w:qFormat/>
    <w:uiPriority w:val="0"/>
    <w:pPr>
      <w:numPr>
        <w:ilvl w:val="0"/>
        <w:numId w:val="18"/>
      </w:num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55">
    <w:name w:val="标准文件_一级无标题"/>
    <w:basedOn w:val="153"/>
    <w:autoRedefine/>
    <w:qFormat/>
    <w:uiPriority w:val="0"/>
    <w:pPr>
      <w:spacing w:beforeLines="0" w:afterLines="0"/>
      <w:outlineLvl w:val="9"/>
    </w:pPr>
    <w:rPr>
      <w:rFonts w:ascii="宋体" w:eastAsia="宋体"/>
    </w:rPr>
  </w:style>
  <w:style w:type="paragraph" w:customStyle="1" w:styleId="156">
    <w:name w:val="标准文件_段"/>
    <w:link w:val="158"/>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57">
    <w:name w:val="标准文件_附录表标题"/>
    <w:next w:val="156"/>
    <w:autoRedefine/>
    <w:qFormat/>
    <w:uiPriority w:val="0"/>
    <w:pPr>
      <w:numPr>
        <w:ilvl w:val="1"/>
        <w:numId w:val="19"/>
      </w:numPr>
      <w:adjustRightInd w:val="0"/>
      <w:snapToGrid w:val="0"/>
      <w:spacing w:beforeLines="50" w:afterLines="50"/>
      <w:ind w:left="4679" w:firstLine="420"/>
      <w:jc w:val="center"/>
      <w:textAlignment w:val="baseline"/>
    </w:pPr>
    <w:rPr>
      <w:rFonts w:ascii="黑体" w:hAnsi="Times New Roman" w:eastAsia="黑体" w:cs="Times New Roman"/>
      <w:kern w:val="21"/>
      <w:sz w:val="21"/>
      <w:lang w:val="en-US" w:eastAsia="zh-CN" w:bidi="ar-SA"/>
    </w:rPr>
  </w:style>
  <w:style w:type="character" w:customStyle="1" w:styleId="158">
    <w:name w:val="标准文件_段 Char"/>
    <w:link w:val="156"/>
    <w:autoRedefine/>
    <w:qFormat/>
    <w:uiPriority w:val="0"/>
    <w:rPr>
      <w:rFonts w:ascii="宋体"/>
      <w:sz w:val="21"/>
    </w:rPr>
  </w:style>
  <w:style w:type="paragraph" w:customStyle="1" w:styleId="159">
    <w:name w:val="标准文件_附录表标号"/>
    <w:basedOn w:val="156"/>
    <w:next w:val="156"/>
    <w:autoRedefine/>
    <w:qFormat/>
    <w:uiPriority w:val="0"/>
    <w:pPr>
      <w:numPr>
        <w:ilvl w:val="0"/>
        <w:numId w:val="19"/>
      </w:numPr>
      <w:spacing w:line="14" w:lineRule="exact"/>
      <w:ind w:left="0" w:firstLine="0" w:firstLineChars="0"/>
      <w:jc w:val="center"/>
    </w:pPr>
    <w:rPr>
      <w:rFonts w:eastAsia="黑体"/>
      <w:vanish/>
      <w:sz w:val="2"/>
    </w:rPr>
  </w:style>
  <w:style w:type="paragraph" w:customStyle="1" w:styleId="160">
    <w:name w:val="Revision"/>
    <w:hidden/>
    <w:unhideWhenUsed/>
    <w:qFormat/>
    <w:uiPriority w:val="99"/>
    <w:rPr>
      <w:rFonts w:ascii="Times New Roman" w:hAnsi="Times New Roman" w:eastAsia="宋体" w:cs="Times New Roman"/>
      <w:kern w:val="2"/>
      <w:sz w:val="21"/>
      <w:szCs w:val="24"/>
      <w:lang w:val="en-US" w:eastAsia="zh-CN" w:bidi="ar-SA"/>
    </w:rPr>
  </w:style>
  <w:style w:type="character" w:customStyle="1" w:styleId="161">
    <w:name w:val="批注文字 字符"/>
    <w:basedOn w:val="39"/>
    <w:link w:val="10"/>
    <w:semiHidden/>
    <w:qFormat/>
    <w:uiPriority w:val="0"/>
    <w:rPr>
      <w:kern w:val="2"/>
      <w:sz w:val="21"/>
      <w:szCs w:val="24"/>
    </w:rPr>
  </w:style>
  <w:style w:type="character" w:customStyle="1" w:styleId="162">
    <w:name w:val="批注主题 字符"/>
    <w:basedOn w:val="161"/>
    <w:link w:val="36"/>
    <w:semiHidden/>
    <w:qFormat/>
    <w:uiPriority w:val="0"/>
    <w:rPr>
      <w:b/>
      <w:bCs/>
      <w:kern w:val="2"/>
      <w:sz w:val="21"/>
      <w:szCs w:val="24"/>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microsoft.com/office/2006/relationships/keyMapCustomizations" Target="customizations.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glossaryDocument" Target="glossary/document.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111"/>
        <w:style w:val=""/>
        <w:category>
          <w:name w:val="常规"/>
          <w:gallery w:val="placeholder"/>
        </w:category>
        <w:types>
          <w:type w:val="bbPlcHdr"/>
        </w:types>
        <w:behaviors>
          <w:behavior w:val="content"/>
        </w:behaviors>
        <w:description w:val=""/>
        <w:guid w:val="{028989F2-0355-49D4-BDA6-4D56B5D374C0}"/>
      </w:docPartPr>
      <w:docPartBody>
        <w:p w14:paraId="5D2597CC">
          <w:pPr>
            <w:pStyle w:val="5"/>
          </w:pPr>
          <w:r>
            <w:rPr>
              <w:rStyle w:val="4"/>
              <w:rFonts w:hint="eastAsia"/>
            </w:rPr>
            <w:t>标准名称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1"/>
  <w:bordersDoNotSurroundFooter w:val="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113A"/>
    <w:rsid w:val="0002647A"/>
    <w:rsid w:val="0002653F"/>
    <w:rsid w:val="0006673F"/>
    <w:rsid w:val="00080DE3"/>
    <w:rsid w:val="00087E40"/>
    <w:rsid w:val="000C73CF"/>
    <w:rsid w:val="001132F9"/>
    <w:rsid w:val="00114ABC"/>
    <w:rsid w:val="001C16E0"/>
    <w:rsid w:val="002068C7"/>
    <w:rsid w:val="00270112"/>
    <w:rsid w:val="00285399"/>
    <w:rsid w:val="00323E80"/>
    <w:rsid w:val="003372E5"/>
    <w:rsid w:val="003750AF"/>
    <w:rsid w:val="00430F92"/>
    <w:rsid w:val="004973D7"/>
    <w:rsid w:val="004F113A"/>
    <w:rsid w:val="004F1EC5"/>
    <w:rsid w:val="00515A81"/>
    <w:rsid w:val="005335DD"/>
    <w:rsid w:val="00595E09"/>
    <w:rsid w:val="006346C1"/>
    <w:rsid w:val="00674FBA"/>
    <w:rsid w:val="006D02E4"/>
    <w:rsid w:val="007216E9"/>
    <w:rsid w:val="007C6ACB"/>
    <w:rsid w:val="007E2797"/>
    <w:rsid w:val="00800293"/>
    <w:rsid w:val="00820E7E"/>
    <w:rsid w:val="008E024D"/>
    <w:rsid w:val="008E17F7"/>
    <w:rsid w:val="008F0268"/>
    <w:rsid w:val="00902EF8"/>
    <w:rsid w:val="00982DAC"/>
    <w:rsid w:val="009B16B1"/>
    <w:rsid w:val="00A0227C"/>
    <w:rsid w:val="00A94E45"/>
    <w:rsid w:val="00AD6808"/>
    <w:rsid w:val="00B717AC"/>
    <w:rsid w:val="00BC67AA"/>
    <w:rsid w:val="00C875D2"/>
    <w:rsid w:val="00CB0B2B"/>
    <w:rsid w:val="00D4454B"/>
    <w:rsid w:val="00D65DD7"/>
    <w:rsid w:val="00D67952"/>
    <w:rsid w:val="00DA4409"/>
    <w:rsid w:val="00E95A08"/>
    <w:rsid w:val="00EA15BD"/>
    <w:rsid w:val="00EA32AC"/>
    <w:rsid w:val="00F93653"/>
    <w:rsid w:val="00FD153B"/>
    <w:rsid w:val="00FF0B73"/>
    <w:rsid w:val="00FF0EC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sdException w:qFormat="1" w:unhideWhenUsed="0" w:uiPriority="99" w:name="Placeholder Text"/>
  </w:latentStyles>
  <w:style w:type="paragraph" w:default="1" w:styleId="1">
    <w:name w:val="Normal"/>
    <w:autoRedefine/>
    <w:qFormat/>
    <w:uiPriority w:val="0"/>
    <w:pPr>
      <w:widowControl w:val="0"/>
      <w:jc w:val="both"/>
    </w:pPr>
    <w:rPr>
      <w:rFonts w:cs="Times New Roman" w:asciiTheme="minorHAnsi" w:hAnsiTheme="minorHAnsi" w:eastAsiaTheme="minorEastAsia"/>
      <w:kern w:val="2"/>
      <w:sz w:val="3276"/>
      <w:szCs w:val="3276"/>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Placeholder Text"/>
    <w:basedOn w:val="2"/>
    <w:semiHidden/>
    <w:qFormat/>
    <w:uiPriority w:val="99"/>
    <w:rPr>
      <w:color w:val="808080"/>
    </w:rPr>
  </w:style>
  <w:style w:type="paragraph" w:customStyle="1" w:styleId="5">
    <w:name w:val="1112"/>
    <w:qFormat/>
    <w:uiPriority w:val="0"/>
    <w:pPr>
      <w:keepNext/>
      <w:pageBreakBefore/>
      <w:shd w:val="clear" w:color="FFFFFF" w:fill="FFFFFF"/>
      <w:spacing w:before="640" w:after="560" w:line="460" w:lineRule="exact"/>
      <w:jc w:val="center"/>
      <w:outlineLvl w:val="0"/>
    </w:pPr>
    <w:rPr>
      <w:rFonts w:ascii="黑体" w:hAnsi="Times New Roman" w:eastAsia="黑体" w:cs="Times New Roman"/>
      <w:sz w:val="3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zle</Company>
  <Pages>11</Pages>
  <Words>5317</Words>
  <Characters>6713</Characters>
  <Lines>80</Lines>
  <Paragraphs>22</Paragraphs>
  <TotalTime>2</TotalTime>
  <ScaleCrop>false</ScaleCrop>
  <LinksUpToDate>false</LinksUpToDate>
  <CharactersWithSpaces>6909</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2024-04-15T14:11:00Z</dcterms:created>
  <dc:creator>CNIS</dc:creator>
  <cp:lastModifiedBy>委员会</cp:lastModifiedBy>
  <dcterms:modified xsi:type="dcterms:W3CDTF">2024-08-15T06:58:40Z</dcterms:modified>
  <dc:title>标准名称</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7729C571C7374693A0ACB6CDE79DF825_13</vt:lpwstr>
  </property>
</Properties>
</file>